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70AC" w14:textId="0B70D555" w:rsidR="005A5406" w:rsidRPr="009419CF" w:rsidRDefault="009419CF" w:rsidP="00A2391B">
      <w:pPr>
        <w:spacing w:before="120" w:after="360" w:line="276" w:lineRule="auto"/>
        <w:jc w:val="both"/>
        <w:rPr>
          <w:rFonts w:ascii="Century Gothic" w:hAnsi="Century Gothic"/>
          <w:b/>
          <w:bCs/>
          <w:color w:val="B5121B"/>
          <w:sz w:val="28"/>
          <w:szCs w:val="28"/>
        </w:rPr>
      </w:pPr>
      <w:r w:rsidRPr="009419CF">
        <w:rPr>
          <w:rFonts w:ascii="Century Gothic" w:hAnsi="Century Gothic"/>
          <w:b/>
          <w:bCs/>
          <w:color w:val="B5121B"/>
          <w:sz w:val="28"/>
          <w:szCs w:val="28"/>
        </w:rPr>
        <w:t>Shared follow-up and survivorship care for low-risk endometrial cancer</w:t>
      </w:r>
    </w:p>
    <w:p w14:paraId="66EAE8F2" w14:textId="77777777" w:rsidR="009419CF" w:rsidRDefault="009419CF" w:rsidP="00E10852">
      <w:pPr>
        <w:spacing w:before="240" w:after="120" w:line="276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9419CF">
        <w:rPr>
          <w:rFonts w:ascii="Century Gothic" w:hAnsi="Century Gothic"/>
          <w:b/>
          <w:bCs/>
          <w:sz w:val="28"/>
          <w:szCs w:val="28"/>
        </w:rPr>
        <w:t>Screening, assessment and management of supportive care needs of women with low-risk endometrial cancer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E10852" w14:paraId="3580107C" w14:textId="77777777" w:rsidTr="00E10852">
        <w:tc>
          <w:tcPr>
            <w:tcW w:w="9010" w:type="dxa"/>
          </w:tcPr>
          <w:p w14:paraId="020FDC38" w14:textId="040D7AF5" w:rsidR="00E10852" w:rsidRPr="00E10852" w:rsidRDefault="00E10852" w:rsidP="009F3A26">
            <w:pPr>
              <w:spacing w:before="200" w:after="200"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419CF">
              <w:rPr>
                <w:rFonts w:ascii="Century Gothic" w:hAnsi="Century Gothic"/>
                <w:sz w:val="20"/>
                <w:szCs w:val="20"/>
              </w:rPr>
              <w:t xml:space="preserve">This resource is for all members of the shared care </w:t>
            </w:r>
            <w:r w:rsidRPr="004E48DE">
              <w:rPr>
                <w:rFonts w:ascii="Century Gothic" w:hAnsi="Century Gothic"/>
                <w:sz w:val="20"/>
                <w:szCs w:val="20"/>
              </w:rPr>
              <w:t>team</w:t>
            </w:r>
            <w:r w:rsidR="006A44B8" w:rsidRPr="004E48DE">
              <w:rPr>
                <w:rStyle w:val="FootnoteReference"/>
                <w:rFonts w:ascii="Century Gothic" w:hAnsi="Century Gothic"/>
                <w:sz w:val="20"/>
                <w:szCs w:val="20"/>
              </w:rPr>
              <w:footnoteReference w:id="2"/>
            </w:r>
            <w:r w:rsidR="009F3A26" w:rsidRPr="004E48DE">
              <w:rPr>
                <w:rFonts w:ascii="Century Gothic" w:hAnsi="Century Gothic"/>
                <w:sz w:val="20"/>
                <w:szCs w:val="20"/>
              </w:rPr>
              <w:t>.</w:t>
            </w:r>
            <w:r w:rsidRPr="004E48DE"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 w:rsidRPr="009419CF">
              <w:rPr>
                <w:rFonts w:ascii="Century Gothic" w:hAnsi="Century Gothic"/>
                <w:sz w:val="20"/>
                <w:szCs w:val="20"/>
              </w:rPr>
              <w:t>t provides guidance on the screening, assessment and management of supportive care needs of women affected by low-risk endometrial cancer, their carers and families, as part of shared follow-up and survivorship care.</w:t>
            </w:r>
          </w:p>
        </w:tc>
      </w:tr>
    </w:tbl>
    <w:p w14:paraId="31B325B9" w14:textId="77777777" w:rsidR="009419CF" w:rsidRPr="00215E47" w:rsidRDefault="009419CF" w:rsidP="00E10852">
      <w:pPr>
        <w:spacing w:before="240" w:after="120" w:line="276" w:lineRule="auto"/>
        <w:jc w:val="both"/>
        <w:rPr>
          <w:rFonts w:ascii="Century Gothic" w:hAnsi="Century Gothic"/>
          <w:b/>
          <w:bCs/>
        </w:rPr>
      </w:pPr>
      <w:r w:rsidRPr="00215E47">
        <w:rPr>
          <w:rFonts w:ascii="Century Gothic" w:hAnsi="Century Gothic"/>
          <w:b/>
          <w:bCs/>
        </w:rPr>
        <w:t>Supportive care needs of women with low-risk endometrial cancer</w:t>
      </w:r>
    </w:p>
    <w:p w14:paraId="40BAEA92" w14:textId="35E9DEE1" w:rsidR="009419CF" w:rsidRPr="004E48DE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 xml:space="preserve">Supportive care is the provision of services, both generalist and specialist, for those living with or affected by </w:t>
      </w:r>
      <w:r w:rsidRPr="004E48DE">
        <w:rPr>
          <w:rFonts w:ascii="Century Gothic" w:hAnsi="Century Gothic"/>
          <w:sz w:val="20"/>
          <w:szCs w:val="20"/>
        </w:rPr>
        <w:t xml:space="preserve">cancer. It is an umbrella term for the services required to meet physical, </w:t>
      </w:r>
      <w:r w:rsidR="009F3A26" w:rsidRPr="004E48DE">
        <w:rPr>
          <w:rFonts w:ascii="Century Gothic" w:hAnsi="Century Gothic"/>
          <w:sz w:val="20"/>
          <w:szCs w:val="20"/>
        </w:rPr>
        <w:t xml:space="preserve">psychological, </w:t>
      </w:r>
      <w:r w:rsidRPr="004E48DE">
        <w:rPr>
          <w:rFonts w:ascii="Century Gothic" w:hAnsi="Century Gothic"/>
          <w:sz w:val="20"/>
          <w:szCs w:val="20"/>
        </w:rPr>
        <w:t>social</w:t>
      </w:r>
      <w:r w:rsidR="009F3A26" w:rsidRPr="004E48DE">
        <w:rPr>
          <w:rFonts w:ascii="Century Gothic" w:hAnsi="Century Gothic"/>
          <w:sz w:val="20"/>
          <w:szCs w:val="20"/>
        </w:rPr>
        <w:t xml:space="preserve"> (including educational, financial and occupational issues), cultural, </w:t>
      </w:r>
      <w:r w:rsidRPr="004E48DE">
        <w:rPr>
          <w:rFonts w:ascii="Century Gothic" w:hAnsi="Century Gothic"/>
          <w:sz w:val="20"/>
          <w:szCs w:val="20"/>
        </w:rPr>
        <w:t>informational, spiritual and practical needs during the diagnostic, treatment, and follow-up phases, encompassing issues of survivorship</w:t>
      </w:r>
      <w:r w:rsidRPr="004E48DE">
        <w:rPr>
          <w:rFonts w:ascii="Century Gothic" w:hAnsi="Century Gothic"/>
          <w:sz w:val="20"/>
          <w:szCs w:val="20"/>
          <w:vertAlign w:val="superscript"/>
        </w:rPr>
        <w:t>1</w:t>
      </w:r>
      <w:r w:rsidRPr="004E48DE">
        <w:rPr>
          <w:rFonts w:ascii="Century Gothic" w:hAnsi="Century Gothic"/>
          <w:sz w:val="20"/>
          <w:szCs w:val="20"/>
        </w:rPr>
        <w:t>.</w:t>
      </w:r>
    </w:p>
    <w:p w14:paraId="5DC5BE00" w14:textId="68183747" w:rsidR="009419CF" w:rsidRPr="009419CF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4E48DE">
        <w:rPr>
          <w:rFonts w:ascii="Century Gothic" w:hAnsi="Century Gothic"/>
          <w:sz w:val="20"/>
          <w:szCs w:val="20"/>
        </w:rPr>
        <w:t xml:space="preserve">All members of the </w:t>
      </w:r>
      <w:r w:rsidR="00301A8C" w:rsidRPr="004E48DE">
        <w:rPr>
          <w:rFonts w:ascii="Century Gothic" w:hAnsi="Century Gothic"/>
          <w:sz w:val="20"/>
          <w:szCs w:val="20"/>
        </w:rPr>
        <w:t>shared</w:t>
      </w:r>
      <w:r w:rsidRPr="004E48DE">
        <w:rPr>
          <w:rFonts w:ascii="Century Gothic" w:hAnsi="Century Gothic"/>
          <w:sz w:val="20"/>
          <w:szCs w:val="20"/>
        </w:rPr>
        <w:t xml:space="preserve"> care team have an important role in providing supportive care as part of shared follow-up and survivorship ca</w:t>
      </w:r>
      <w:r w:rsidRPr="009419CF">
        <w:rPr>
          <w:rFonts w:ascii="Century Gothic" w:hAnsi="Century Gothic"/>
          <w:sz w:val="20"/>
          <w:szCs w:val="20"/>
        </w:rPr>
        <w:t>re.</w:t>
      </w:r>
    </w:p>
    <w:p w14:paraId="0616F379" w14:textId="7DBA590D" w:rsidR="009419CF" w:rsidRPr="009419CF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Supportive care intervention can prevent or minimise the adverse effects of cancer and its treatment, across all phases of a woman’s cancer experience and is a core component of best practice clinical care.</w:t>
      </w:r>
    </w:p>
    <w:p w14:paraId="26BD8D1C" w14:textId="45CEA7ED" w:rsidR="009419CF" w:rsidRPr="00E3103A" w:rsidRDefault="009419CF" w:rsidP="00B35742">
      <w:pPr>
        <w:spacing w:before="240" w:after="120" w:line="276" w:lineRule="auto"/>
        <w:jc w:val="both"/>
        <w:rPr>
          <w:rFonts w:ascii="Century Gothic" w:hAnsi="Century Gothic"/>
          <w:b/>
          <w:bCs/>
          <w:sz w:val="21"/>
          <w:szCs w:val="21"/>
        </w:rPr>
      </w:pPr>
      <w:r w:rsidRPr="00E3103A">
        <w:rPr>
          <w:rFonts w:ascii="Century Gothic" w:hAnsi="Century Gothic"/>
          <w:b/>
          <w:bCs/>
          <w:sz w:val="21"/>
          <w:szCs w:val="21"/>
        </w:rPr>
        <w:t>Specific supportive care needs of women with low-risk endometrial cancer during the follow–up care phase include</w:t>
      </w:r>
      <w:r w:rsidRPr="00E3103A">
        <w:rPr>
          <w:rFonts w:ascii="Century Gothic" w:hAnsi="Century Gothic"/>
          <w:b/>
          <w:bCs/>
          <w:sz w:val="21"/>
          <w:szCs w:val="21"/>
          <w:vertAlign w:val="superscript"/>
        </w:rPr>
        <w:t>2</w:t>
      </w:r>
      <w:r w:rsidRPr="00E3103A">
        <w:rPr>
          <w:rFonts w:ascii="Century Gothic" w:hAnsi="Century Gothic"/>
          <w:b/>
          <w:bCs/>
          <w:sz w:val="21"/>
          <w:szCs w:val="21"/>
        </w:rPr>
        <w:t>:</w:t>
      </w:r>
    </w:p>
    <w:p w14:paraId="04420BF5" w14:textId="77777777" w:rsidR="009419CF" w:rsidRPr="00B35742" w:rsidRDefault="009419CF" w:rsidP="00B35742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B35742">
        <w:rPr>
          <w:rFonts w:ascii="Century Gothic" w:hAnsi="Century Gothic"/>
          <w:sz w:val="20"/>
          <w:szCs w:val="20"/>
        </w:rPr>
        <w:t>surgically or chemically induced menopause</w:t>
      </w:r>
    </w:p>
    <w:p w14:paraId="3E28DAB5" w14:textId="77777777" w:rsidR="000A2DC8" w:rsidRDefault="009419CF" w:rsidP="00B35742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B35742">
        <w:rPr>
          <w:rFonts w:ascii="Century Gothic" w:hAnsi="Century Gothic"/>
          <w:sz w:val="20"/>
          <w:szCs w:val="20"/>
        </w:rPr>
        <w:t>sexual health needs, sexual dysfunction, including vaginal dryness, bleeding and stenos</w:t>
      </w:r>
      <w:r w:rsidR="000A2DC8">
        <w:rPr>
          <w:rFonts w:ascii="Century Gothic" w:hAnsi="Century Gothic"/>
          <w:sz w:val="20"/>
          <w:szCs w:val="20"/>
        </w:rPr>
        <w:t>is, and pain during intercourse</w:t>
      </w:r>
    </w:p>
    <w:p w14:paraId="74D1795D" w14:textId="405B285F" w:rsidR="009419CF" w:rsidRPr="00B35742" w:rsidRDefault="009419CF" w:rsidP="00B35742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B35742">
        <w:rPr>
          <w:rFonts w:ascii="Century Gothic" w:hAnsi="Century Gothic"/>
          <w:sz w:val="20"/>
          <w:szCs w:val="20"/>
        </w:rPr>
        <w:t>emotional and psychological issues including body image, relationship and sexuality concerns</w:t>
      </w:r>
    </w:p>
    <w:p w14:paraId="75AC7935" w14:textId="77777777" w:rsidR="00752E3F" w:rsidRDefault="009419CF" w:rsidP="00B35742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B35742">
        <w:rPr>
          <w:rFonts w:ascii="Century Gothic" w:hAnsi="Century Gothic"/>
          <w:sz w:val="20"/>
          <w:szCs w:val="20"/>
        </w:rPr>
        <w:t xml:space="preserve">bowel or bladder dysfunction (which may have been present prior to treatment or be exacerbated by treatment) </w:t>
      </w:r>
    </w:p>
    <w:p w14:paraId="2329C9F1" w14:textId="467AF241" w:rsidR="009419CF" w:rsidRPr="00B35742" w:rsidRDefault="009419CF" w:rsidP="00B35742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B35742">
        <w:rPr>
          <w:rFonts w:ascii="Century Gothic" w:hAnsi="Century Gothic"/>
          <w:sz w:val="20"/>
          <w:szCs w:val="20"/>
        </w:rPr>
        <w:t>loss of fertility</w:t>
      </w:r>
    </w:p>
    <w:p w14:paraId="240CF8E7" w14:textId="28458DBB" w:rsidR="009419CF" w:rsidRPr="00B35742" w:rsidRDefault="009419CF" w:rsidP="00B35742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B35742">
        <w:rPr>
          <w:rFonts w:ascii="Century Gothic" w:hAnsi="Century Gothic"/>
          <w:sz w:val="20"/>
          <w:szCs w:val="20"/>
        </w:rPr>
        <w:t>lower leg lymphoedema (swelling of the legs) which can affect mobility (unlikely following treatment for low-risk endometrial cancer).</w:t>
      </w:r>
    </w:p>
    <w:p w14:paraId="5A30850F" w14:textId="77777777" w:rsidR="004E48DE" w:rsidRDefault="004E48D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14:paraId="7767E6DA" w14:textId="7DCA6FD0" w:rsidR="009419CF" w:rsidRPr="00C27DDD" w:rsidRDefault="009419CF" w:rsidP="00C27DDD">
      <w:pPr>
        <w:spacing w:before="240" w:after="120" w:line="276" w:lineRule="auto"/>
        <w:jc w:val="both"/>
        <w:rPr>
          <w:rFonts w:ascii="Century Gothic" w:hAnsi="Century Gothic"/>
          <w:b/>
          <w:bCs/>
        </w:rPr>
      </w:pPr>
      <w:bookmarkStart w:id="0" w:name="_GoBack"/>
      <w:bookmarkEnd w:id="0"/>
      <w:r w:rsidRPr="00C27DDD">
        <w:rPr>
          <w:rFonts w:ascii="Century Gothic" w:hAnsi="Century Gothic"/>
          <w:b/>
          <w:bCs/>
        </w:rPr>
        <w:lastRenderedPageBreak/>
        <w:t>Co-morbidities</w:t>
      </w:r>
    </w:p>
    <w:p w14:paraId="0E1D3F7F" w14:textId="77777777" w:rsidR="00C27DDD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 xml:space="preserve">Many women with endometrial cancer also experience a range of co-morbidities including: </w:t>
      </w:r>
    </w:p>
    <w:p w14:paraId="68104383" w14:textId="29E9EC5C" w:rsidR="009419CF" w:rsidRPr="009419CF" w:rsidRDefault="009419CF" w:rsidP="00C27DDD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obesity related issues</w:t>
      </w:r>
    </w:p>
    <w:p w14:paraId="52FADE6B" w14:textId="77777777" w:rsidR="009419CF" w:rsidRPr="009419CF" w:rsidRDefault="009419CF" w:rsidP="00C27DDD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hypertension diabetes</w:t>
      </w:r>
    </w:p>
    <w:p w14:paraId="7D3382F0" w14:textId="3545E04D" w:rsidR="009419CF" w:rsidRPr="009419CF" w:rsidRDefault="006A44B8" w:rsidP="00C27DDD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cardiovascular disease</w:t>
      </w:r>
      <w:r>
        <w:rPr>
          <w:rStyle w:val="FootnoteReference"/>
          <w:rFonts w:ascii="Century Gothic" w:hAnsi="Century Gothic"/>
          <w:sz w:val="20"/>
          <w:szCs w:val="20"/>
        </w:rPr>
        <w:footnoteReference w:id="3"/>
      </w:r>
    </w:p>
    <w:p w14:paraId="3C3329BF" w14:textId="77777777" w:rsidR="009419CF" w:rsidRPr="009419CF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 xml:space="preserve">Co-morbidities increase the complexity of follow-up care for women with low-risk endometrial cancer and their care should be managed holistically using a multidisciplinary approach. </w:t>
      </w:r>
      <w:r w:rsidRPr="00E3103A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t>Addressing the underlying risk factors for these conditions has the potential to improve outcomes</w:t>
      </w:r>
      <w:r w:rsidRPr="00E3103A">
        <w:rPr>
          <w:rFonts w:ascii="Century Gothic" w:hAnsi="Century Gothic"/>
          <w:color w:val="595959" w:themeColor="text1" w:themeTint="A6"/>
          <w:sz w:val="20"/>
          <w:szCs w:val="20"/>
        </w:rPr>
        <w:t xml:space="preserve"> </w:t>
      </w:r>
      <w:r w:rsidRPr="009419CF">
        <w:rPr>
          <w:rFonts w:ascii="Century Gothic" w:hAnsi="Century Gothic"/>
          <w:sz w:val="20"/>
          <w:szCs w:val="20"/>
        </w:rPr>
        <w:t>of women affected by low-risk endometrial cancer</w:t>
      </w:r>
      <w:r w:rsidRPr="00E3103A">
        <w:rPr>
          <w:rFonts w:ascii="Century Gothic" w:hAnsi="Century Gothic"/>
          <w:sz w:val="20"/>
          <w:szCs w:val="20"/>
          <w:vertAlign w:val="superscript"/>
        </w:rPr>
        <w:t>3</w:t>
      </w:r>
      <w:r w:rsidRPr="009419CF">
        <w:rPr>
          <w:rFonts w:ascii="Century Gothic" w:hAnsi="Century Gothic"/>
          <w:sz w:val="20"/>
          <w:szCs w:val="20"/>
        </w:rPr>
        <w:t>.</w:t>
      </w:r>
    </w:p>
    <w:p w14:paraId="055214BE" w14:textId="70F73591" w:rsidR="009419CF" w:rsidRPr="009419CF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 xml:space="preserve">Screening, assessing and managing the effects of treatment, co-morbidities and secondary prevention are important aspects of a holistic and multidisciplinary approach to managing follow-up care for women with low-risk endometrial cancer. </w:t>
      </w:r>
      <w:r w:rsidRPr="00E3103A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t xml:space="preserve">Referral to appropriate health </w:t>
      </w:r>
      <w:r w:rsidR="00752E3F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t>practitioner</w:t>
      </w:r>
      <w:r w:rsidR="007E638C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t>/</w:t>
      </w:r>
      <w:r w:rsidR="00752E3F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t>s</w:t>
      </w:r>
      <w:r w:rsidR="00752E3F" w:rsidRPr="00E3103A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t xml:space="preserve"> </w:t>
      </w:r>
      <w:r w:rsidRPr="00E3103A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t xml:space="preserve">is required to meet the identified needs of the woman, her </w:t>
      </w:r>
      <w:proofErr w:type="spellStart"/>
      <w:r w:rsidRPr="00E3103A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t>carer</w:t>
      </w:r>
      <w:proofErr w:type="spellEnd"/>
      <w:r w:rsidRPr="00E3103A"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t xml:space="preserve"> and family.</w:t>
      </w:r>
    </w:p>
    <w:p w14:paraId="11EF1925" w14:textId="133FBE95" w:rsidR="009419CF" w:rsidRPr="00E3103A" w:rsidRDefault="009419CF" w:rsidP="00E3103A">
      <w:pPr>
        <w:spacing w:before="240" w:after="120" w:line="276" w:lineRule="auto"/>
        <w:jc w:val="both"/>
        <w:rPr>
          <w:rFonts w:ascii="Century Gothic" w:hAnsi="Century Gothic"/>
          <w:b/>
          <w:bCs/>
          <w:sz w:val="21"/>
          <w:szCs w:val="21"/>
        </w:rPr>
      </w:pPr>
      <w:r w:rsidRPr="00E3103A">
        <w:rPr>
          <w:rFonts w:ascii="Century Gothic" w:hAnsi="Century Gothic"/>
          <w:b/>
          <w:bCs/>
          <w:sz w:val="21"/>
          <w:szCs w:val="21"/>
        </w:rPr>
        <w:t xml:space="preserve">The </w:t>
      </w:r>
      <w:r w:rsidR="00793B48" w:rsidRPr="004E48DE">
        <w:rPr>
          <w:rFonts w:ascii="Century Gothic" w:hAnsi="Century Gothic"/>
          <w:b/>
          <w:bCs/>
          <w:sz w:val="21"/>
          <w:szCs w:val="21"/>
        </w:rPr>
        <w:t>shared care</w:t>
      </w:r>
      <w:r w:rsidRPr="004E48DE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E3103A">
        <w:rPr>
          <w:rFonts w:ascii="Century Gothic" w:hAnsi="Century Gothic"/>
          <w:b/>
          <w:bCs/>
          <w:sz w:val="21"/>
          <w:szCs w:val="21"/>
        </w:rPr>
        <w:t>team is required to:</w:t>
      </w:r>
    </w:p>
    <w:p w14:paraId="1CA46C92" w14:textId="77777777" w:rsidR="009419CF" w:rsidRPr="009419CF" w:rsidRDefault="009419CF" w:rsidP="00E3103A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identify, monitor and manage effects of treatment</w:t>
      </w:r>
    </w:p>
    <w:p w14:paraId="6AE5E57E" w14:textId="77777777" w:rsidR="009419CF" w:rsidRPr="009419CF" w:rsidRDefault="009419CF" w:rsidP="00E3103A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identify, monitor and manage newly emerging or ongoing co-morbidities (as part of routine primary care), including obesity, diabetes and cardiovascular disease</w:t>
      </w:r>
    </w:p>
    <w:p w14:paraId="10A2056B" w14:textId="598B678F" w:rsidR="009419CF" w:rsidRPr="009419CF" w:rsidRDefault="009419CF" w:rsidP="00E3103A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actively promote secondary prevention strategies for modifiable lifestyle factors and encourage realistic goal-setting (including maintaining a healthy body weight and regular physical activity)</w:t>
      </w:r>
      <w:r w:rsidR="004F5540" w:rsidRPr="004F5540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="004F5540" w:rsidRPr="00721A78">
        <w:rPr>
          <w:rFonts w:ascii="Century Gothic" w:hAnsi="Century Gothic"/>
          <w:sz w:val="20"/>
          <w:szCs w:val="20"/>
          <w:vertAlign w:val="superscript"/>
        </w:rPr>
        <w:t>4</w:t>
      </w:r>
      <w:r w:rsidRPr="009419CF">
        <w:rPr>
          <w:rFonts w:ascii="Century Gothic" w:hAnsi="Century Gothic"/>
          <w:sz w:val="20"/>
          <w:szCs w:val="20"/>
        </w:rPr>
        <w:t>.</w:t>
      </w:r>
    </w:p>
    <w:p w14:paraId="32B68A0D" w14:textId="5410BD34" w:rsidR="009419CF" w:rsidRPr="009419CF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 xml:space="preserve">Women who require management of menopausal symptoms after treatment of low-risk endometrial cancer should be managed in consultation with the </w:t>
      </w:r>
      <w:r w:rsidR="00752E3F">
        <w:rPr>
          <w:rFonts w:ascii="Century Gothic" w:hAnsi="Century Gothic"/>
          <w:sz w:val="20"/>
          <w:szCs w:val="20"/>
        </w:rPr>
        <w:t>shared care</w:t>
      </w:r>
      <w:r w:rsidRPr="009419CF">
        <w:rPr>
          <w:rFonts w:ascii="Century Gothic" w:hAnsi="Century Gothic"/>
          <w:sz w:val="20"/>
          <w:szCs w:val="20"/>
        </w:rPr>
        <w:t xml:space="preserve"> team.</w:t>
      </w:r>
    </w:p>
    <w:p w14:paraId="2BD10991" w14:textId="09A4D303" w:rsidR="009419CF" w:rsidRPr="00E3103A" w:rsidRDefault="009419CF" w:rsidP="00E3103A">
      <w:pPr>
        <w:spacing w:before="240" w:after="120"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E3103A">
        <w:rPr>
          <w:rFonts w:ascii="Century Gothic" w:hAnsi="Century Gothic"/>
          <w:b/>
          <w:bCs/>
          <w:sz w:val="20"/>
          <w:szCs w:val="20"/>
        </w:rPr>
        <w:t>In addition to managing the physical effects of treatment</w:t>
      </w:r>
      <w:r w:rsidRPr="004E48DE">
        <w:rPr>
          <w:rFonts w:ascii="Century Gothic" w:hAnsi="Century Gothic"/>
          <w:b/>
          <w:bCs/>
          <w:sz w:val="20"/>
          <w:szCs w:val="20"/>
        </w:rPr>
        <w:t xml:space="preserve">, </w:t>
      </w:r>
      <w:r w:rsidR="00967732" w:rsidRPr="004E48DE">
        <w:rPr>
          <w:rFonts w:ascii="Century Gothic" w:hAnsi="Century Gothic"/>
          <w:b/>
          <w:bCs/>
          <w:sz w:val="20"/>
          <w:szCs w:val="20"/>
        </w:rPr>
        <w:t xml:space="preserve">the shared care </w:t>
      </w:r>
      <w:r w:rsidRPr="004E48DE">
        <w:rPr>
          <w:rFonts w:ascii="Century Gothic" w:hAnsi="Century Gothic"/>
          <w:b/>
          <w:bCs/>
          <w:sz w:val="20"/>
          <w:szCs w:val="20"/>
        </w:rPr>
        <w:t>tea</w:t>
      </w:r>
      <w:r w:rsidRPr="00E3103A">
        <w:rPr>
          <w:rFonts w:ascii="Century Gothic" w:hAnsi="Century Gothic"/>
          <w:b/>
          <w:bCs/>
          <w:sz w:val="20"/>
          <w:szCs w:val="20"/>
        </w:rPr>
        <w:t>m should also manage the psychosocial needs of women by:</w:t>
      </w:r>
    </w:p>
    <w:p w14:paraId="0D68BD6C" w14:textId="289D6C08" w:rsidR="009419CF" w:rsidRPr="009419CF" w:rsidRDefault="009419CF" w:rsidP="00E3103A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 xml:space="preserve">assessing the woman’s level of psychosocial distress as well as that experienced by her </w:t>
      </w:r>
      <w:proofErr w:type="spellStart"/>
      <w:r w:rsidRPr="009419CF">
        <w:rPr>
          <w:rFonts w:ascii="Century Gothic" w:hAnsi="Century Gothic"/>
          <w:sz w:val="20"/>
          <w:szCs w:val="20"/>
        </w:rPr>
        <w:t>carer</w:t>
      </w:r>
      <w:proofErr w:type="spellEnd"/>
      <w:r w:rsidRPr="009419CF">
        <w:rPr>
          <w:rFonts w:ascii="Century Gothic" w:hAnsi="Century Gothic"/>
          <w:sz w:val="20"/>
          <w:szCs w:val="20"/>
        </w:rPr>
        <w:t xml:space="preserve"> and family (using the NCCN Distress Thermometer and Problem List for Patients) including effects on sexual health needs, sexuality, fertility, relationships and supportive care needs of carers and families</w:t>
      </w:r>
    </w:p>
    <w:p w14:paraId="06377F20" w14:textId="77777777" w:rsidR="009419CF" w:rsidRPr="009419CF" w:rsidRDefault="009419CF" w:rsidP="00E3103A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acknowledging that some women may find regular check-ups reassuring while for others they may be associated with increased levels of anxiety</w:t>
      </w:r>
    </w:p>
    <w:p w14:paraId="00EBA613" w14:textId="21374F15" w:rsidR="009419CF" w:rsidRPr="009419CF" w:rsidRDefault="009419CF" w:rsidP="00E3103A">
      <w:pPr>
        <w:pStyle w:val="ListParagraph"/>
        <w:numPr>
          <w:ilvl w:val="0"/>
          <w:numId w:val="1"/>
        </w:numPr>
        <w:spacing w:before="200"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providing appropriate support and referral to appropriate allied health professionals, social and support services</w:t>
      </w:r>
      <w:r w:rsidR="004F5540" w:rsidRPr="004F5540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="004F5540" w:rsidRPr="004166C5">
        <w:rPr>
          <w:rFonts w:ascii="Century Gothic" w:hAnsi="Century Gothic"/>
          <w:sz w:val="20"/>
          <w:szCs w:val="20"/>
          <w:vertAlign w:val="superscript"/>
        </w:rPr>
        <w:t>5</w:t>
      </w:r>
      <w:r w:rsidRPr="009419CF">
        <w:rPr>
          <w:rFonts w:ascii="Century Gothic" w:hAnsi="Century Gothic"/>
          <w:sz w:val="20"/>
          <w:szCs w:val="20"/>
        </w:rPr>
        <w:t>.</w:t>
      </w:r>
    </w:p>
    <w:p w14:paraId="0F5FC88A" w14:textId="77777777" w:rsidR="009419CF" w:rsidRPr="00E3103A" w:rsidRDefault="009419CF" w:rsidP="00E3103A">
      <w:pPr>
        <w:spacing w:before="240" w:after="120" w:line="276" w:lineRule="auto"/>
        <w:jc w:val="both"/>
        <w:rPr>
          <w:rFonts w:ascii="Century Gothic" w:hAnsi="Century Gothic"/>
          <w:b/>
          <w:bCs/>
        </w:rPr>
      </w:pPr>
      <w:r w:rsidRPr="00E3103A">
        <w:rPr>
          <w:rFonts w:ascii="Century Gothic" w:hAnsi="Century Gothic"/>
          <w:b/>
          <w:bCs/>
        </w:rPr>
        <w:t>Further information and resources</w:t>
      </w:r>
    </w:p>
    <w:p w14:paraId="689CFE4B" w14:textId="7CFA24EA" w:rsidR="009419CF" w:rsidRPr="009419CF" w:rsidRDefault="004E48DE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hyperlink r:id="rId8" w:history="1">
        <w:r w:rsidR="009419CF" w:rsidRPr="00E3103A">
          <w:rPr>
            <w:rStyle w:val="Hyperlink"/>
            <w:rFonts w:ascii="Century Gothic" w:hAnsi="Century Gothic"/>
            <w:sz w:val="20"/>
            <w:szCs w:val="20"/>
          </w:rPr>
          <w:t>Supporting self-management and living well</w:t>
        </w:r>
      </w:hyperlink>
    </w:p>
    <w:p w14:paraId="69D46ADF" w14:textId="77777777" w:rsidR="009419CF" w:rsidRPr="009419CF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Provides guidance to women, promoting health and wellbeing, self-management and living well.</w:t>
      </w:r>
    </w:p>
    <w:p w14:paraId="1514CEDF" w14:textId="61E18E47" w:rsidR="009419CF" w:rsidRPr="009419CF" w:rsidRDefault="004E48DE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hyperlink r:id="rId9" w:history="1">
        <w:r w:rsidR="009419CF" w:rsidRPr="00721A78">
          <w:rPr>
            <w:rStyle w:val="Hyperlink"/>
            <w:rFonts w:ascii="Century Gothic" w:hAnsi="Century Gothic"/>
            <w:sz w:val="20"/>
            <w:szCs w:val="20"/>
          </w:rPr>
          <w:t>Intimacy and sexuality for women with gynaecological cancer – starting a conversation</w:t>
        </w:r>
      </w:hyperlink>
    </w:p>
    <w:p w14:paraId="5A50FD07" w14:textId="77777777" w:rsidR="009419CF" w:rsidRPr="009419CF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Supports women (and their partners) in understanding and addressing issues of intimacy and sexuality following the diagnosis and treatment of gynaecological cancer.</w:t>
      </w:r>
    </w:p>
    <w:p w14:paraId="7007E256" w14:textId="0401B378" w:rsidR="009419CF" w:rsidRPr="009419CF" w:rsidRDefault="004E48DE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hyperlink r:id="rId10" w:history="1">
        <w:r w:rsidR="009419CF" w:rsidRPr="00721A78">
          <w:rPr>
            <w:rStyle w:val="Hyperlink"/>
            <w:rFonts w:ascii="Century Gothic" w:hAnsi="Century Gothic"/>
            <w:sz w:val="20"/>
            <w:szCs w:val="20"/>
          </w:rPr>
          <w:t>The NCCN Distress Thermometer and Problem List for Patients</w:t>
        </w:r>
      </w:hyperlink>
    </w:p>
    <w:p w14:paraId="11FA0C38" w14:textId="251C15BB" w:rsidR="009419CF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Measures distress and allows patients to inform their doctor if they are having concerns in areas such as practical, family, emotional, spiritual and physical problems.</w:t>
      </w:r>
    </w:p>
    <w:p w14:paraId="02A915C4" w14:textId="77777777" w:rsidR="00967732" w:rsidRPr="009419CF" w:rsidRDefault="00967732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</w:p>
    <w:p w14:paraId="23FF9E62" w14:textId="77777777" w:rsidR="009419CF" w:rsidRPr="009419CF" w:rsidRDefault="009419CF" w:rsidP="00721A78">
      <w:pPr>
        <w:spacing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1.</w:t>
      </w:r>
      <w:r w:rsidRPr="009419CF">
        <w:rPr>
          <w:rFonts w:ascii="Century Gothic" w:hAnsi="Century Gothic"/>
          <w:sz w:val="20"/>
          <w:szCs w:val="20"/>
        </w:rPr>
        <w:tab/>
        <w:t>Cancer Council Australia (2016). Optimal care pathways for women with endometrial cancer. Available at www.cancer.org.au/ocp. Accessed: Dec 2019.</w:t>
      </w:r>
    </w:p>
    <w:p w14:paraId="206BDF55" w14:textId="417A7BE7" w:rsidR="009419CF" w:rsidRPr="009419CF" w:rsidRDefault="009419CF" w:rsidP="00721A78">
      <w:pPr>
        <w:spacing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2.</w:t>
      </w:r>
      <w:r w:rsidRPr="009419CF">
        <w:rPr>
          <w:rFonts w:ascii="Century Gothic" w:hAnsi="Century Gothic"/>
          <w:sz w:val="20"/>
          <w:szCs w:val="20"/>
        </w:rPr>
        <w:tab/>
        <w:t>Cancer Australia. National Framework for Gynaecological Cancer Control. Cancer Australia, Surry Hills, NSW</w:t>
      </w:r>
      <w:r w:rsidR="001D45FA">
        <w:rPr>
          <w:rFonts w:ascii="Century Gothic" w:hAnsi="Century Gothic"/>
          <w:sz w:val="20"/>
          <w:szCs w:val="20"/>
        </w:rPr>
        <w:t>, 2016</w:t>
      </w:r>
      <w:r w:rsidRPr="009419CF">
        <w:rPr>
          <w:rFonts w:ascii="Century Gothic" w:hAnsi="Century Gothic"/>
          <w:sz w:val="20"/>
          <w:szCs w:val="20"/>
        </w:rPr>
        <w:t>.</w:t>
      </w:r>
    </w:p>
    <w:p w14:paraId="65638F87" w14:textId="21EEF372" w:rsidR="009419CF" w:rsidRPr="009419CF" w:rsidRDefault="009419CF" w:rsidP="00721A78">
      <w:pPr>
        <w:spacing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3.</w:t>
      </w:r>
      <w:r w:rsidRPr="009419CF">
        <w:rPr>
          <w:rFonts w:ascii="Century Gothic" w:hAnsi="Century Gothic"/>
          <w:sz w:val="20"/>
          <w:szCs w:val="20"/>
        </w:rPr>
        <w:tab/>
        <w:t>Ward KK, Shah NR, Saenz CC,</w:t>
      </w:r>
      <w:r w:rsidR="000413C6">
        <w:rPr>
          <w:rFonts w:ascii="Century Gothic" w:hAnsi="Century Gothic"/>
          <w:sz w:val="20"/>
          <w:szCs w:val="20"/>
        </w:rPr>
        <w:t xml:space="preserve"> </w:t>
      </w:r>
      <w:r w:rsidRPr="009419CF">
        <w:rPr>
          <w:rFonts w:ascii="Century Gothic" w:hAnsi="Century Gothic"/>
          <w:sz w:val="20"/>
          <w:szCs w:val="20"/>
        </w:rPr>
        <w:t xml:space="preserve">et al. Cardiovascular disease is the leading cause of death among endometrial cancer patients. </w:t>
      </w:r>
      <w:proofErr w:type="spellStart"/>
      <w:r w:rsidRPr="009419CF">
        <w:rPr>
          <w:rFonts w:ascii="Century Gothic" w:hAnsi="Century Gothic"/>
          <w:sz w:val="20"/>
          <w:szCs w:val="20"/>
        </w:rPr>
        <w:t>Gynecol</w:t>
      </w:r>
      <w:proofErr w:type="spellEnd"/>
      <w:r w:rsidRPr="009419CF">
        <w:rPr>
          <w:rFonts w:ascii="Century Gothic" w:hAnsi="Century Gothic"/>
          <w:sz w:val="20"/>
          <w:szCs w:val="20"/>
        </w:rPr>
        <w:t xml:space="preserve"> Oncol 2012 Aug;126(2):176-9.</w:t>
      </w:r>
    </w:p>
    <w:p w14:paraId="37860B1B" w14:textId="1EF7287D" w:rsidR="009419CF" w:rsidRPr="009419CF" w:rsidRDefault="009419CF" w:rsidP="00721A78">
      <w:pPr>
        <w:spacing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4.</w:t>
      </w:r>
      <w:r w:rsidRPr="009419CF">
        <w:rPr>
          <w:rFonts w:ascii="Century Gothic" w:hAnsi="Century Gothic"/>
          <w:sz w:val="20"/>
          <w:szCs w:val="20"/>
        </w:rPr>
        <w:tab/>
      </w:r>
      <w:r w:rsidR="0015710F" w:rsidRPr="009419CF">
        <w:rPr>
          <w:rFonts w:ascii="Century Gothic" w:hAnsi="Century Gothic"/>
          <w:sz w:val="20"/>
          <w:szCs w:val="20"/>
        </w:rPr>
        <w:t>Ward KK</w:t>
      </w:r>
      <w:r w:rsidRPr="009419CF">
        <w:rPr>
          <w:rFonts w:ascii="Century Gothic" w:hAnsi="Century Gothic"/>
          <w:sz w:val="20"/>
          <w:szCs w:val="20"/>
        </w:rPr>
        <w:t xml:space="preserve">, Shah NR, Saenz CC et al. Cardiovascular disease is the leading cause of death among endometrial cancer patients. </w:t>
      </w:r>
      <w:proofErr w:type="spellStart"/>
      <w:r w:rsidRPr="009419CF">
        <w:rPr>
          <w:rFonts w:ascii="Century Gothic" w:hAnsi="Century Gothic"/>
          <w:sz w:val="20"/>
          <w:szCs w:val="20"/>
        </w:rPr>
        <w:t>Gynecol</w:t>
      </w:r>
      <w:proofErr w:type="spellEnd"/>
      <w:r w:rsidRPr="009419CF">
        <w:rPr>
          <w:rFonts w:ascii="Century Gothic" w:hAnsi="Century Gothic"/>
          <w:sz w:val="20"/>
          <w:szCs w:val="20"/>
        </w:rPr>
        <w:t xml:space="preserve"> Oncol. 2012;126(1):176–9.</w:t>
      </w:r>
    </w:p>
    <w:p w14:paraId="002728C2" w14:textId="71C7CCD2" w:rsidR="009419CF" w:rsidRDefault="009419CF" w:rsidP="00721A78">
      <w:pPr>
        <w:spacing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  <w:r w:rsidRPr="009419CF">
        <w:rPr>
          <w:rFonts w:ascii="Century Gothic" w:hAnsi="Century Gothic"/>
          <w:sz w:val="20"/>
          <w:szCs w:val="20"/>
        </w:rPr>
        <w:t>5.</w:t>
      </w:r>
      <w:r w:rsidRPr="009419CF">
        <w:rPr>
          <w:rFonts w:ascii="Century Gothic" w:hAnsi="Century Gothic"/>
          <w:sz w:val="20"/>
          <w:szCs w:val="20"/>
        </w:rPr>
        <w:tab/>
        <w:t xml:space="preserve">Cancer Australia. Follow-up care for women with low-risk endometrial cancer: A guide for General Practitioners. </w:t>
      </w:r>
      <w:r w:rsidR="003322B7">
        <w:rPr>
          <w:rFonts w:ascii="Century Gothic" w:hAnsi="Century Gothic"/>
          <w:sz w:val="20"/>
          <w:szCs w:val="20"/>
        </w:rPr>
        <w:t xml:space="preserve">Cancer Australia, Surry Hills, NSW, </w:t>
      </w:r>
      <w:r w:rsidR="00CE5E1E">
        <w:rPr>
          <w:rFonts w:ascii="Century Gothic" w:hAnsi="Century Gothic"/>
          <w:sz w:val="20"/>
          <w:szCs w:val="20"/>
        </w:rPr>
        <w:t>2020</w:t>
      </w:r>
      <w:r w:rsidRPr="009419CF">
        <w:rPr>
          <w:rFonts w:ascii="Century Gothic" w:hAnsi="Century Gothic"/>
          <w:sz w:val="20"/>
          <w:szCs w:val="20"/>
        </w:rPr>
        <w:t>.</w:t>
      </w:r>
    </w:p>
    <w:p w14:paraId="21A13DF4" w14:textId="77777777" w:rsidR="00721A78" w:rsidRPr="009419CF" w:rsidRDefault="00721A78" w:rsidP="00721A78">
      <w:pPr>
        <w:spacing w:after="200" w:line="276" w:lineRule="auto"/>
        <w:ind w:left="851" w:hanging="567"/>
        <w:jc w:val="both"/>
        <w:rPr>
          <w:rFonts w:ascii="Century Gothic" w:hAnsi="Century Gothic"/>
          <w:sz w:val="20"/>
          <w:szCs w:val="20"/>
        </w:rPr>
      </w:pPr>
    </w:p>
    <w:p w14:paraId="19047636" w14:textId="22ABB93E" w:rsidR="009419CF" w:rsidRPr="00721A78" w:rsidRDefault="009419CF" w:rsidP="00721A78">
      <w:pPr>
        <w:spacing w:after="200" w:line="276" w:lineRule="auto"/>
        <w:jc w:val="right"/>
        <w:rPr>
          <w:rFonts w:ascii="Century Gothic" w:hAnsi="Century Gothic"/>
          <w:sz w:val="18"/>
          <w:szCs w:val="18"/>
        </w:rPr>
      </w:pPr>
      <w:r w:rsidRPr="00721A78">
        <w:rPr>
          <w:rFonts w:ascii="Century Gothic" w:hAnsi="Century Gothic"/>
          <w:sz w:val="18"/>
          <w:szCs w:val="18"/>
        </w:rPr>
        <w:t xml:space="preserve">© Cancer Australia 2020 SCSAE </w:t>
      </w:r>
      <w:r w:rsidR="00E93D23" w:rsidRPr="004E48DE">
        <w:rPr>
          <w:rFonts w:ascii="Century Gothic" w:hAnsi="Century Gothic"/>
          <w:sz w:val="18"/>
          <w:szCs w:val="18"/>
        </w:rPr>
        <w:t>08</w:t>
      </w:r>
      <w:r w:rsidRPr="00721A78">
        <w:rPr>
          <w:rFonts w:ascii="Century Gothic" w:hAnsi="Century Gothic"/>
          <w:sz w:val="18"/>
          <w:szCs w:val="18"/>
        </w:rPr>
        <w:t>/20</w:t>
      </w:r>
    </w:p>
    <w:p w14:paraId="23901603" w14:textId="77777777" w:rsidR="009419CF" w:rsidRPr="009419CF" w:rsidRDefault="009419CF" w:rsidP="00B35742">
      <w:pPr>
        <w:spacing w:after="200" w:line="276" w:lineRule="auto"/>
        <w:jc w:val="both"/>
        <w:rPr>
          <w:rFonts w:ascii="Century Gothic" w:hAnsi="Century Gothic"/>
          <w:sz w:val="20"/>
          <w:szCs w:val="20"/>
        </w:rPr>
      </w:pPr>
    </w:p>
    <w:sectPr w:rsidR="009419CF" w:rsidRPr="009419CF" w:rsidSect="00E3103A"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0" w:h="16840"/>
      <w:pgMar w:top="1440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0C94D" w14:textId="77777777" w:rsidR="007843C8" w:rsidRDefault="007843C8" w:rsidP="009419CF">
      <w:r>
        <w:separator/>
      </w:r>
    </w:p>
  </w:endnote>
  <w:endnote w:type="continuationSeparator" w:id="0">
    <w:p w14:paraId="5C0B775B" w14:textId="77777777" w:rsidR="007843C8" w:rsidRDefault="007843C8" w:rsidP="009419CF">
      <w:r>
        <w:continuationSeparator/>
      </w:r>
    </w:p>
  </w:endnote>
  <w:endnote w:type="continuationNotice" w:id="1">
    <w:p w14:paraId="6839D6E7" w14:textId="77777777" w:rsidR="007843C8" w:rsidRDefault="007843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262356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C471C0" w14:textId="22E5A3D0" w:rsidR="008243B9" w:rsidRDefault="008243B9" w:rsidP="006A44B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004B4F" w14:textId="77777777" w:rsidR="008243B9" w:rsidRDefault="008243B9" w:rsidP="00721A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35134235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15"/>
        <w:szCs w:val="15"/>
      </w:rPr>
    </w:sdtEndPr>
    <w:sdtContent>
      <w:p w14:paraId="5EE35AF3" w14:textId="740585C0" w:rsidR="008243B9" w:rsidRPr="00721A78" w:rsidRDefault="008243B9" w:rsidP="006A44B8">
        <w:pPr>
          <w:pStyle w:val="Footer"/>
          <w:framePr w:wrap="none" w:vAnchor="text" w:hAnchor="margin" w:xAlign="right" w:y="1"/>
          <w:rPr>
            <w:rStyle w:val="PageNumber"/>
            <w:rFonts w:ascii="Century Gothic" w:hAnsi="Century Gothic"/>
            <w:sz w:val="20"/>
            <w:szCs w:val="20"/>
          </w:rPr>
        </w:pP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begin"/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instrText xml:space="preserve"> PAGE </w:instrTex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separate"/>
        </w:r>
        <w:r w:rsidR="00CB7CD3">
          <w:rPr>
            <w:rStyle w:val="PageNumber"/>
            <w:rFonts w:ascii="Century Gothic" w:hAnsi="Century Gothic"/>
            <w:noProof/>
            <w:sz w:val="20"/>
            <w:szCs w:val="20"/>
          </w:rPr>
          <w:t>3</w: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6099D564" w14:textId="77777777" w:rsidR="008243B9" w:rsidRDefault="008243B9" w:rsidP="00721A7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5711478"/>
      <w:docPartObj>
        <w:docPartGallery w:val="Page Numbers (Bottom of Page)"/>
        <w:docPartUnique/>
      </w:docPartObj>
    </w:sdtPr>
    <w:sdtEndPr>
      <w:rPr>
        <w:rStyle w:val="PageNumber"/>
        <w:rFonts w:ascii="Century Gothic" w:hAnsi="Century Gothic"/>
        <w:sz w:val="21"/>
        <w:szCs w:val="21"/>
      </w:rPr>
    </w:sdtEndPr>
    <w:sdtContent>
      <w:p w14:paraId="6CEDFC0E" w14:textId="185EA7D2" w:rsidR="008243B9" w:rsidRDefault="008243B9" w:rsidP="006A44B8">
        <w:pPr>
          <w:pStyle w:val="Footer"/>
          <w:framePr w:wrap="none" w:vAnchor="text" w:hAnchor="margin" w:xAlign="right" w:y="1"/>
          <w:rPr>
            <w:rStyle w:val="PageNumber"/>
          </w:rPr>
        </w:pP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begin"/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instrText xml:space="preserve"> PAGE </w:instrTex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separate"/>
        </w:r>
        <w:r w:rsidR="00CB7CD3">
          <w:rPr>
            <w:rStyle w:val="PageNumber"/>
            <w:rFonts w:ascii="Century Gothic" w:hAnsi="Century Gothic"/>
            <w:noProof/>
            <w:sz w:val="20"/>
            <w:szCs w:val="20"/>
          </w:rPr>
          <w:t>1</w:t>
        </w:r>
        <w:r w:rsidRPr="00721A78">
          <w:rPr>
            <w:rStyle w:val="PageNumber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41D0C50D" w14:textId="77777777" w:rsidR="008243B9" w:rsidRDefault="008243B9" w:rsidP="00721A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0A659" w14:textId="77777777" w:rsidR="007843C8" w:rsidRDefault="007843C8" w:rsidP="009419CF">
      <w:r>
        <w:separator/>
      </w:r>
    </w:p>
  </w:footnote>
  <w:footnote w:type="continuationSeparator" w:id="0">
    <w:p w14:paraId="13BA263C" w14:textId="77777777" w:rsidR="007843C8" w:rsidRDefault="007843C8" w:rsidP="009419CF">
      <w:r>
        <w:continuationSeparator/>
      </w:r>
    </w:p>
  </w:footnote>
  <w:footnote w:type="continuationNotice" w:id="1">
    <w:p w14:paraId="714BDCE4" w14:textId="77777777" w:rsidR="007843C8" w:rsidRDefault="007843C8"/>
  </w:footnote>
  <w:footnote w:id="2">
    <w:p w14:paraId="4B7AF868" w14:textId="5E741E72" w:rsidR="008243B9" w:rsidRPr="004E48DE" w:rsidRDefault="008243B9" w:rsidP="009F3A26">
      <w:pPr>
        <w:pStyle w:val="FootnoteText"/>
        <w:jc w:val="both"/>
        <w:rPr>
          <w:rFonts w:ascii="Century Gothic" w:hAnsi="Century Gothic"/>
          <w:sz w:val="18"/>
          <w:szCs w:val="18"/>
          <w:lang w:val="en-US"/>
        </w:rPr>
      </w:pPr>
      <w:r w:rsidRPr="004E48DE">
        <w:rPr>
          <w:rStyle w:val="FootnoteReference"/>
          <w:rFonts w:ascii="Century Gothic" w:hAnsi="Century Gothic"/>
          <w:sz w:val="18"/>
          <w:szCs w:val="18"/>
        </w:rPr>
        <w:footnoteRef/>
      </w:r>
      <w:r w:rsidRPr="004E48DE">
        <w:rPr>
          <w:rFonts w:ascii="Century Gothic" w:hAnsi="Century Gothic"/>
          <w:sz w:val="18"/>
          <w:szCs w:val="18"/>
        </w:rPr>
        <w:t xml:space="preserve"> S</w:t>
      </w:r>
      <w:r w:rsidRPr="004E48DE">
        <w:rPr>
          <w:rFonts w:ascii="Century Gothic" w:hAnsi="Century Gothic"/>
          <w:sz w:val="18"/>
          <w:szCs w:val="18"/>
          <w:lang w:val="en-US"/>
        </w:rPr>
        <w:t xml:space="preserve">hared care team refers to members of the specialist multidisciplinary </w:t>
      </w:r>
      <w:proofErr w:type="spellStart"/>
      <w:r w:rsidRPr="004E48DE">
        <w:rPr>
          <w:rFonts w:ascii="Century Gothic" w:hAnsi="Century Gothic"/>
          <w:sz w:val="18"/>
          <w:szCs w:val="18"/>
          <w:lang w:val="en-US"/>
        </w:rPr>
        <w:t>gynaecological</w:t>
      </w:r>
      <w:proofErr w:type="spellEnd"/>
      <w:r w:rsidRPr="004E48DE">
        <w:rPr>
          <w:rFonts w:ascii="Century Gothic" w:hAnsi="Century Gothic"/>
          <w:sz w:val="18"/>
          <w:szCs w:val="18"/>
          <w:lang w:val="en-US"/>
        </w:rPr>
        <w:t xml:space="preserve"> cancer team</w:t>
      </w:r>
      <w:r w:rsidR="00FC4B08" w:rsidRPr="004E48DE">
        <w:rPr>
          <w:rFonts w:ascii="Century Gothic" w:hAnsi="Century Gothic"/>
          <w:sz w:val="18"/>
          <w:szCs w:val="18"/>
          <w:lang w:val="en-US"/>
        </w:rPr>
        <w:t xml:space="preserve"> (specialist team</w:t>
      </w:r>
      <w:r w:rsidR="00A17D56" w:rsidRPr="004E48DE">
        <w:rPr>
          <w:rFonts w:ascii="Century Gothic" w:hAnsi="Century Gothic"/>
          <w:sz w:val="18"/>
          <w:szCs w:val="18"/>
          <w:lang w:val="en-US"/>
        </w:rPr>
        <w:t xml:space="preserve">; </w:t>
      </w:r>
      <w:r w:rsidRPr="004E48DE">
        <w:rPr>
          <w:rFonts w:ascii="Century Gothic" w:hAnsi="Century Gothic"/>
          <w:sz w:val="18"/>
          <w:szCs w:val="18"/>
          <w:lang w:val="en-US"/>
        </w:rPr>
        <w:t xml:space="preserve">including but not limited to </w:t>
      </w:r>
      <w:proofErr w:type="spellStart"/>
      <w:r w:rsidRPr="004E48DE">
        <w:rPr>
          <w:rFonts w:ascii="Century Gothic" w:hAnsi="Century Gothic"/>
          <w:sz w:val="18"/>
          <w:szCs w:val="18"/>
          <w:lang w:val="en-US"/>
        </w:rPr>
        <w:t>gynaecological</w:t>
      </w:r>
      <w:proofErr w:type="spellEnd"/>
      <w:r w:rsidRPr="004E48DE">
        <w:rPr>
          <w:rFonts w:ascii="Century Gothic" w:hAnsi="Century Gothic"/>
          <w:sz w:val="18"/>
          <w:szCs w:val="18"/>
          <w:lang w:val="en-US"/>
        </w:rPr>
        <w:t xml:space="preserve"> oncologists, medical oncologists, radiation oncologists, </w:t>
      </w:r>
      <w:proofErr w:type="spellStart"/>
      <w:r w:rsidRPr="004E48DE">
        <w:rPr>
          <w:rFonts w:ascii="Century Gothic" w:hAnsi="Century Gothic"/>
          <w:sz w:val="18"/>
          <w:szCs w:val="18"/>
          <w:lang w:val="en-US"/>
        </w:rPr>
        <w:t>gynaecologists</w:t>
      </w:r>
      <w:proofErr w:type="spellEnd"/>
      <w:r w:rsidRPr="004E48DE">
        <w:rPr>
          <w:rFonts w:ascii="Century Gothic" w:hAnsi="Century Gothic"/>
          <w:sz w:val="18"/>
          <w:szCs w:val="18"/>
          <w:lang w:val="en-US"/>
        </w:rPr>
        <w:t>, nurses and/or allied health professionals) and the primary care p</w:t>
      </w:r>
      <w:r w:rsidR="00102C5B" w:rsidRPr="004E48DE">
        <w:rPr>
          <w:rFonts w:ascii="Century Gothic" w:hAnsi="Century Gothic"/>
          <w:sz w:val="18"/>
          <w:szCs w:val="18"/>
          <w:lang w:val="en-US"/>
        </w:rPr>
        <w:t>ractitione</w:t>
      </w:r>
      <w:r w:rsidRPr="004E48DE">
        <w:rPr>
          <w:rFonts w:ascii="Century Gothic" w:hAnsi="Century Gothic"/>
          <w:sz w:val="18"/>
          <w:szCs w:val="18"/>
          <w:lang w:val="en-US"/>
        </w:rPr>
        <w:t>r/s (including General Practitioner (GP) and primary health care nurse).</w:t>
      </w:r>
    </w:p>
  </w:footnote>
  <w:footnote w:id="3">
    <w:p w14:paraId="54BAB6EC" w14:textId="54D626ED" w:rsidR="008243B9" w:rsidRPr="006A44B8" w:rsidRDefault="008243B9" w:rsidP="000A2DC8">
      <w:pPr>
        <w:pStyle w:val="FootnoteText"/>
        <w:jc w:val="both"/>
        <w:rPr>
          <w:rFonts w:ascii="Century Gothic" w:hAnsi="Century Gothic"/>
          <w:sz w:val="18"/>
          <w:szCs w:val="18"/>
          <w:lang w:val="en-US"/>
        </w:rPr>
      </w:pPr>
      <w:r w:rsidRPr="006A44B8">
        <w:rPr>
          <w:rStyle w:val="FootnoteReference"/>
          <w:rFonts w:ascii="Century Gothic" w:hAnsi="Century Gothic"/>
          <w:sz w:val="18"/>
          <w:szCs w:val="18"/>
        </w:rPr>
        <w:footnoteRef/>
      </w:r>
      <w:r w:rsidRPr="006A44B8">
        <w:rPr>
          <w:rFonts w:ascii="Century Gothic" w:hAnsi="Century Gothic"/>
          <w:sz w:val="18"/>
          <w:szCs w:val="18"/>
        </w:rPr>
        <w:t xml:space="preserve"> Evidence suggests that cardiovascular disease is the leading cause of death among women with endometrial cancer</w:t>
      </w:r>
      <w:r w:rsidRPr="006A44B8">
        <w:rPr>
          <w:rFonts w:ascii="Century Gothic" w:hAnsi="Century Gothic"/>
          <w:sz w:val="18"/>
          <w:szCs w:val="18"/>
          <w:vertAlign w:val="superscript"/>
        </w:rPr>
        <w:t>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EFF7" w14:textId="5D9C6AD8" w:rsidR="008243B9" w:rsidRDefault="008243B9" w:rsidP="00E3103A">
    <w:pPr>
      <w:pStyle w:val="Header"/>
    </w:pPr>
    <w:r w:rsidRPr="009419CF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54BBB79C" wp14:editId="404EE8E9">
          <wp:simplePos x="0" y="0"/>
          <wp:positionH relativeFrom="leftMargin">
            <wp:posOffset>4392295</wp:posOffset>
          </wp:positionH>
          <wp:positionV relativeFrom="topMargin">
            <wp:posOffset>360045</wp:posOffset>
          </wp:positionV>
          <wp:extent cx="2584800" cy="637200"/>
          <wp:effectExtent l="0" t="0" r="0" b="0"/>
          <wp:wrapTopAndBottom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D05A8"/>
    <w:multiLevelType w:val="hybridMultilevel"/>
    <w:tmpl w:val="71A6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9CF"/>
    <w:rsid w:val="000413C6"/>
    <w:rsid w:val="000A2DC8"/>
    <w:rsid w:val="000D38D3"/>
    <w:rsid w:val="00102C5B"/>
    <w:rsid w:val="001437B4"/>
    <w:rsid w:val="0015710F"/>
    <w:rsid w:val="001A4C5D"/>
    <w:rsid w:val="001D45FA"/>
    <w:rsid w:val="001F741E"/>
    <w:rsid w:val="00215E47"/>
    <w:rsid w:val="002608BB"/>
    <w:rsid w:val="00274AD1"/>
    <w:rsid w:val="00301A8C"/>
    <w:rsid w:val="003322B7"/>
    <w:rsid w:val="003D6F20"/>
    <w:rsid w:val="00402A19"/>
    <w:rsid w:val="004166C5"/>
    <w:rsid w:val="00443391"/>
    <w:rsid w:val="004E48DE"/>
    <w:rsid w:val="004F5540"/>
    <w:rsid w:val="005A3B78"/>
    <w:rsid w:val="005A5406"/>
    <w:rsid w:val="00651098"/>
    <w:rsid w:val="006578F0"/>
    <w:rsid w:val="00691504"/>
    <w:rsid w:val="006A44B8"/>
    <w:rsid w:val="00721A78"/>
    <w:rsid w:val="00752E3F"/>
    <w:rsid w:val="007843C8"/>
    <w:rsid w:val="00793B48"/>
    <w:rsid w:val="007C767C"/>
    <w:rsid w:val="007E638C"/>
    <w:rsid w:val="007F151D"/>
    <w:rsid w:val="00810401"/>
    <w:rsid w:val="00811513"/>
    <w:rsid w:val="008243B9"/>
    <w:rsid w:val="009419CF"/>
    <w:rsid w:val="00967732"/>
    <w:rsid w:val="009F3A26"/>
    <w:rsid w:val="00A055AD"/>
    <w:rsid w:val="00A17D56"/>
    <w:rsid w:val="00A2391B"/>
    <w:rsid w:val="00A61553"/>
    <w:rsid w:val="00B35742"/>
    <w:rsid w:val="00BB219C"/>
    <w:rsid w:val="00C27DDD"/>
    <w:rsid w:val="00CB7CD3"/>
    <w:rsid w:val="00CE5E1E"/>
    <w:rsid w:val="00E10852"/>
    <w:rsid w:val="00E3103A"/>
    <w:rsid w:val="00E93D23"/>
    <w:rsid w:val="00EE12FB"/>
    <w:rsid w:val="00FC4B08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4D9A5C"/>
  <w15:docId w15:val="{AF8D3888-93C4-4F09-86AF-8F61467F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9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9CF"/>
  </w:style>
  <w:style w:type="paragraph" w:styleId="Footer">
    <w:name w:val="footer"/>
    <w:basedOn w:val="Normal"/>
    <w:link w:val="FooterChar"/>
    <w:uiPriority w:val="99"/>
    <w:unhideWhenUsed/>
    <w:rsid w:val="009419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9CF"/>
  </w:style>
  <w:style w:type="table" w:styleId="TableGrid">
    <w:name w:val="Table Grid"/>
    <w:basedOn w:val="TableNormal"/>
    <w:uiPriority w:val="39"/>
    <w:rsid w:val="00E1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7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0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103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21A78"/>
  </w:style>
  <w:style w:type="paragraph" w:styleId="FootnoteText">
    <w:name w:val="footnote text"/>
    <w:basedOn w:val="Normal"/>
    <w:link w:val="FootnoteTextChar"/>
    <w:uiPriority w:val="99"/>
    <w:unhideWhenUsed/>
    <w:rsid w:val="006A44B8"/>
  </w:style>
  <w:style w:type="character" w:customStyle="1" w:styleId="FootnoteTextChar">
    <w:name w:val="Footnote Text Char"/>
    <w:basedOn w:val="DefaultParagraphFont"/>
    <w:link w:val="FootnoteText"/>
    <w:uiPriority w:val="99"/>
    <w:rsid w:val="006A44B8"/>
  </w:style>
  <w:style w:type="character" w:styleId="FootnoteReference">
    <w:name w:val="footnote reference"/>
    <w:basedOn w:val="DefaultParagraphFont"/>
    <w:uiPriority w:val="99"/>
    <w:unhideWhenUsed/>
    <w:rsid w:val="006A44B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3A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A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A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A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ceraustralia.gov.au/publications-and-resources/cancer-australia-publications/shared-follow-and-survivorship-care-low-risk-endometrial-cancer-supporting-self-management-an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cn.org/patients/resources/life_with_cancer/pdf/nccn_distress_thermome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ceraustralia.gov.au/publications-and-resources/cancer-australia-publications/intimacy-and-sexuality-women-gynaecological-cancer-starting-conversation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FE91C5-39E4-4E14-A610-8B15A999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669E8F27</Template>
  <TotalTime>1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O'Neill</dc:creator>
  <cp:keywords/>
  <dc:description/>
  <cp:lastModifiedBy>Bridget O'Neill</cp:lastModifiedBy>
  <cp:revision>3</cp:revision>
  <dcterms:created xsi:type="dcterms:W3CDTF">2020-09-07T03:51:00Z</dcterms:created>
  <dcterms:modified xsi:type="dcterms:W3CDTF">2020-09-07T03:52:00Z</dcterms:modified>
</cp:coreProperties>
</file>