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4E988" w14:textId="77777777" w:rsidR="00D16A9B" w:rsidRPr="009A5F1A" w:rsidRDefault="0041627C" w:rsidP="009A5F1A">
      <w:pPr>
        <w:pStyle w:val="ReportTitle"/>
        <w:spacing w:before="4400"/>
        <w:jc w:val="left"/>
        <w:rPr>
          <w:sz w:val="48"/>
        </w:rPr>
      </w:pPr>
      <w:bookmarkStart w:id="0" w:name="_GoBack"/>
      <w:bookmarkEnd w:id="0"/>
      <w:r w:rsidRPr="0041627C">
        <w:rPr>
          <w:sz w:val="48"/>
        </w:rPr>
        <w:t>The impact of COVID-19 on cancer-related medical services and procedures in Australia in 2020</w:t>
      </w:r>
      <w:r w:rsidR="00A036E1" w:rsidRPr="009A5F1A">
        <w:rPr>
          <w:sz w:val="48"/>
        </w:rPr>
        <w:t xml:space="preserve"> </w:t>
      </w:r>
    </w:p>
    <w:p w14:paraId="0FAFC666" w14:textId="77777777" w:rsidR="00D16A9B" w:rsidRPr="009A5F1A" w:rsidRDefault="0041627C" w:rsidP="00871674">
      <w:pPr>
        <w:pStyle w:val="ReportSubTitle"/>
        <w:jc w:val="left"/>
        <w:rPr>
          <w:sz w:val="32"/>
        </w:rPr>
      </w:pPr>
      <w:r w:rsidRPr="0041627C">
        <w:rPr>
          <w:sz w:val="32"/>
        </w:rPr>
        <w:t>Examination of MBS claims data for 2020, nationally and by jurisdiction</w:t>
      </w:r>
    </w:p>
    <w:p w14:paraId="655AEF2D" w14:textId="77777777" w:rsidR="00D16A9B" w:rsidRPr="009A5F1A" w:rsidRDefault="00D16A9B" w:rsidP="00871674">
      <w:pPr>
        <w:jc w:val="left"/>
        <w:rPr>
          <w:sz w:val="22"/>
        </w:rPr>
      </w:pPr>
    </w:p>
    <w:p w14:paraId="6C966D0F" w14:textId="77777777" w:rsidR="00D16A9B" w:rsidRPr="009A5F1A" w:rsidRDefault="00D16A9B" w:rsidP="00871674">
      <w:pPr>
        <w:jc w:val="left"/>
        <w:rPr>
          <w:sz w:val="22"/>
        </w:rPr>
      </w:pPr>
    </w:p>
    <w:p w14:paraId="61E2BEE0" w14:textId="77777777" w:rsidR="00D16A9B" w:rsidRPr="009A5F1A" w:rsidRDefault="00D16A9B" w:rsidP="00871674">
      <w:pPr>
        <w:jc w:val="left"/>
        <w:rPr>
          <w:sz w:val="22"/>
        </w:rPr>
      </w:pPr>
    </w:p>
    <w:p w14:paraId="52C17CE7" w14:textId="77777777" w:rsidR="00D16A9B" w:rsidRPr="009A5F1A" w:rsidRDefault="0041627C" w:rsidP="009A5F1A">
      <w:pPr>
        <w:pStyle w:val="ReportDate"/>
        <w:jc w:val="left"/>
        <w:rPr>
          <w:sz w:val="32"/>
        </w:rPr>
      </w:pPr>
      <w:r w:rsidRPr="0041627C">
        <w:rPr>
          <w:sz w:val="32"/>
        </w:rPr>
        <w:t>September 2021</w:t>
      </w:r>
    </w:p>
    <w:p w14:paraId="63E1887A" w14:textId="77777777" w:rsidR="00BE01C1" w:rsidRDefault="00BE01C1">
      <w:pPr>
        <w:jc w:val="center"/>
        <w:sectPr w:rsidR="00BE01C1" w:rsidSect="009A5F1A">
          <w:footnotePr>
            <w:numFmt w:val="chicago"/>
          </w:footnotePr>
          <w:pgSz w:w="11909" w:h="16834" w:code="9"/>
          <w:pgMar w:top="1440" w:right="1440" w:bottom="1440" w:left="1440" w:header="720" w:footer="504" w:gutter="0"/>
          <w:pgNumType w:fmt="lowerRoman"/>
          <w:cols w:space="720"/>
          <w:docGrid w:linePitch="360"/>
        </w:sectPr>
      </w:pPr>
    </w:p>
    <w:p w14:paraId="5E3D9300" w14:textId="77777777" w:rsidR="009C381D" w:rsidRDefault="009C381D" w:rsidP="009C381D">
      <w:pPr>
        <w:autoSpaceDE w:val="0"/>
        <w:autoSpaceDN w:val="0"/>
        <w:adjustRightInd w:val="0"/>
        <w:spacing w:after="0" w:line="240" w:lineRule="auto"/>
      </w:pPr>
    </w:p>
    <w:p w14:paraId="7B3D494D" w14:textId="77777777" w:rsidR="009C381D" w:rsidRDefault="009C381D" w:rsidP="009C381D">
      <w:pPr>
        <w:autoSpaceDE w:val="0"/>
        <w:autoSpaceDN w:val="0"/>
        <w:adjustRightInd w:val="0"/>
        <w:spacing w:after="0" w:line="240" w:lineRule="auto"/>
      </w:pPr>
    </w:p>
    <w:p w14:paraId="79321B29" w14:textId="77777777" w:rsidR="009C381D" w:rsidRDefault="009C381D" w:rsidP="009C381D">
      <w:pPr>
        <w:autoSpaceDE w:val="0"/>
        <w:autoSpaceDN w:val="0"/>
        <w:adjustRightInd w:val="0"/>
        <w:spacing w:after="0" w:line="240" w:lineRule="auto"/>
      </w:pPr>
    </w:p>
    <w:p w14:paraId="1248EE68" w14:textId="77777777" w:rsidR="009C381D" w:rsidRDefault="009C381D" w:rsidP="009C381D">
      <w:pPr>
        <w:autoSpaceDE w:val="0"/>
        <w:autoSpaceDN w:val="0"/>
        <w:adjustRightInd w:val="0"/>
        <w:spacing w:after="0" w:line="240" w:lineRule="auto"/>
      </w:pPr>
    </w:p>
    <w:p w14:paraId="12EEBEA9" w14:textId="77777777" w:rsidR="009C381D" w:rsidRDefault="009C381D" w:rsidP="009C381D">
      <w:pPr>
        <w:autoSpaceDE w:val="0"/>
        <w:autoSpaceDN w:val="0"/>
        <w:adjustRightInd w:val="0"/>
        <w:spacing w:after="0" w:line="240" w:lineRule="auto"/>
      </w:pPr>
    </w:p>
    <w:p w14:paraId="6C1519AE" w14:textId="77777777" w:rsidR="009C381D" w:rsidRDefault="009C381D" w:rsidP="009C381D">
      <w:pPr>
        <w:autoSpaceDE w:val="0"/>
        <w:autoSpaceDN w:val="0"/>
        <w:adjustRightInd w:val="0"/>
        <w:spacing w:after="0" w:line="240" w:lineRule="auto"/>
      </w:pPr>
    </w:p>
    <w:p w14:paraId="00872293" w14:textId="77777777" w:rsidR="009C381D" w:rsidRDefault="009C381D" w:rsidP="009C381D">
      <w:pPr>
        <w:autoSpaceDE w:val="0"/>
        <w:autoSpaceDN w:val="0"/>
        <w:adjustRightInd w:val="0"/>
        <w:spacing w:after="0" w:line="240" w:lineRule="auto"/>
      </w:pPr>
    </w:p>
    <w:p w14:paraId="5B460657" w14:textId="77777777" w:rsidR="009C381D" w:rsidRDefault="009C381D" w:rsidP="009C381D">
      <w:pPr>
        <w:autoSpaceDE w:val="0"/>
        <w:autoSpaceDN w:val="0"/>
        <w:adjustRightInd w:val="0"/>
        <w:spacing w:after="0" w:line="240" w:lineRule="auto"/>
      </w:pPr>
    </w:p>
    <w:p w14:paraId="286E2681" w14:textId="77777777" w:rsidR="009C381D" w:rsidRDefault="009C381D" w:rsidP="009C381D">
      <w:pPr>
        <w:autoSpaceDE w:val="0"/>
        <w:autoSpaceDN w:val="0"/>
        <w:adjustRightInd w:val="0"/>
        <w:spacing w:after="0" w:line="240" w:lineRule="auto"/>
      </w:pPr>
    </w:p>
    <w:p w14:paraId="24C7DB36" w14:textId="77777777" w:rsidR="009C381D" w:rsidRDefault="009C381D" w:rsidP="009C381D">
      <w:pPr>
        <w:autoSpaceDE w:val="0"/>
        <w:autoSpaceDN w:val="0"/>
        <w:adjustRightInd w:val="0"/>
        <w:spacing w:after="0" w:line="240" w:lineRule="auto"/>
      </w:pPr>
    </w:p>
    <w:p w14:paraId="223170E0" w14:textId="77777777" w:rsidR="009C381D" w:rsidRDefault="009C381D" w:rsidP="009C381D">
      <w:pPr>
        <w:autoSpaceDE w:val="0"/>
        <w:autoSpaceDN w:val="0"/>
        <w:adjustRightInd w:val="0"/>
        <w:spacing w:after="0" w:line="240" w:lineRule="auto"/>
      </w:pPr>
    </w:p>
    <w:p w14:paraId="5DC3F513" w14:textId="77777777" w:rsidR="009C381D" w:rsidRDefault="009C381D" w:rsidP="009C381D">
      <w:pPr>
        <w:autoSpaceDE w:val="0"/>
        <w:autoSpaceDN w:val="0"/>
        <w:adjustRightInd w:val="0"/>
        <w:spacing w:after="0" w:line="240" w:lineRule="auto"/>
      </w:pPr>
    </w:p>
    <w:p w14:paraId="419DC07B" w14:textId="77777777" w:rsidR="009C381D" w:rsidRDefault="009C381D" w:rsidP="009C381D">
      <w:pPr>
        <w:autoSpaceDE w:val="0"/>
        <w:autoSpaceDN w:val="0"/>
        <w:adjustRightInd w:val="0"/>
        <w:spacing w:after="0" w:line="240" w:lineRule="auto"/>
      </w:pPr>
    </w:p>
    <w:p w14:paraId="5BEDFBB5" w14:textId="77777777" w:rsidR="009C381D" w:rsidRDefault="009C381D" w:rsidP="009C381D">
      <w:pPr>
        <w:autoSpaceDE w:val="0"/>
        <w:autoSpaceDN w:val="0"/>
        <w:adjustRightInd w:val="0"/>
        <w:spacing w:after="0" w:line="240" w:lineRule="auto"/>
      </w:pPr>
    </w:p>
    <w:p w14:paraId="53DE4477" w14:textId="77777777" w:rsidR="009C381D" w:rsidRDefault="009C381D" w:rsidP="009C381D">
      <w:pPr>
        <w:autoSpaceDE w:val="0"/>
        <w:autoSpaceDN w:val="0"/>
        <w:adjustRightInd w:val="0"/>
        <w:spacing w:after="0" w:line="240" w:lineRule="auto"/>
      </w:pPr>
    </w:p>
    <w:p w14:paraId="10F570C9" w14:textId="77777777" w:rsidR="008172A2" w:rsidRDefault="008172A2" w:rsidP="009C381D">
      <w:pPr>
        <w:autoSpaceDE w:val="0"/>
        <w:autoSpaceDN w:val="0"/>
        <w:adjustRightInd w:val="0"/>
        <w:spacing w:after="0" w:line="240" w:lineRule="auto"/>
      </w:pPr>
    </w:p>
    <w:p w14:paraId="32F4838C" w14:textId="77777777" w:rsidR="009C381D" w:rsidRDefault="009C381D" w:rsidP="009C381D">
      <w:pPr>
        <w:autoSpaceDE w:val="0"/>
        <w:autoSpaceDN w:val="0"/>
        <w:adjustRightInd w:val="0"/>
        <w:spacing w:after="0" w:line="240" w:lineRule="auto"/>
      </w:pPr>
    </w:p>
    <w:p w14:paraId="696751FF" w14:textId="77777777" w:rsidR="009C381D" w:rsidRDefault="009C381D" w:rsidP="009C381D">
      <w:pPr>
        <w:autoSpaceDE w:val="0"/>
        <w:autoSpaceDN w:val="0"/>
        <w:adjustRightInd w:val="0"/>
        <w:spacing w:after="0" w:line="240" w:lineRule="auto"/>
        <w:rPr>
          <w:sz w:val="16"/>
          <w:szCs w:val="16"/>
        </w:rPr>
      </w:pPr>
    </w:p>
    <w:p w14:paraId="3BC1900F" w14:textId="77777777" w:rsidR="009C381D" w:rsidRDefault="009C381D" w:rsidP="009C381D">
      <w:pPr>
        <w:autoSpaceDE w:val="0"/>
        <w:autoSpaceDN w:val="0"/>
        <w:adjustRightInd w:val="0"/>
        <w:spacing w:after="0" w:line="240" w:lineRule="auto"/>
        <w:rPr>
          <w:sz w:val="16"/>
          <w:szCs w:val="16"/>
        </w:rPr>
      </w:pPr>
    </w:p>
    <w:p w14:paraId="0BC062EC" w14:textId="77777777" w:rsidR="009C381D" w:rsidRDefault="009C381D" w:rsidP="009C381D">
      <w:pPr>
        <w:autoSpaceDE w:val="0"/>
        <w:autoSpaceDN w:val="0"/>
        <w:adjustRightInd w:val="0"/>
        <w:spacing w:after="0" w:line="240" w:lineRule="auto"/>
        <w:rPr>
          <w:sz w:val="16"/>
          <w:szCs w:val="16"/>
        </w:rPr>
      </w:pPr>
    </w:p>
    <w:p w14:paraId="6E9FB88B" w14:textId="77777777" w:rsidR="009C381D" w:rsidRPr="009C381D" w:rsidRDefault="009C381D" w:rsidP="009C381D">
      <w:pPr>
        <w:autoSpaceDE w:val="0"/>
        <w:autoSpaceDN w:val="0"/>
        <w:adjustRightInd w:val="0"/>
        <w:spacing w:after="0" w:line="240" w:lineRule="auto"/>
        <w:rPr>
          <w:sz w:val="16"/>
          <w:szCs w:val="16"/>
        </w:rPr>
      </w:pPr>
    </w:p>
    <w:p w14:paraId="0077B146" w14:textId="77777777" w:rsidR="00AD4784" w:rsidRPr="004528A9" w:rsidRDefault="00C63A2E" w:rsidP="00AD4784">
      <w:pPr>
        <w:pStyle w:val="TEXT"/>
        <w:suppressAutoHyphens/>
        <w:spacing w:after="57" w:line="240" w:lineRule="auto"/>
        <w:rPr>
          <w:rFonts w:ascii="Century Gothic" w:hAnsi="Century Gothic"/>
          <w:color w:val="auto"/>
          <w:sz w:val="16"/>
          <w:szCs w:val="16"/>
        </w:rPr>
      </w:pPr>
      <w:r w:rsidRPr="004528A9">
        <w:rPr>
          <w:rFonts w:ascii="Century Gothic" w:hAnsi="Century Gothic"/>
          <w:i/>
          <w:iCs/>
          <w:color w:val="auto"/>
          <w:sz w:val="16"/>
          <w:szCs w:val="16"/>
        </w:rPr>
        <w:t xml:space="preserve">The impact of COVID-19 on cancer-related medical services and procedures in Australia in 2020: Examination of MBS claims data for 2020, nationally and by jurisdiction </w:t>
      </w:r>
      <w:r w:rsidR="00AD4784" w:rsidRPr="004528A9">
        <w:rPr>
          <w:rFonts w:ascii="Century Gothic" w:hAnsi="Century Gothic"/>
          <w:color w:val="auto"/>
          <w:sz w:val="16"/>
          <w:szCs w:val="16"/>
        </w:rPr>
        <w:t>was prepared and produced by:</w:t>
      </w:r>
    </w:p>
    <w:p w14:paraId="0AD878D0" w14:textId="77777777" w:rsidR="00AD4784" w:rsidRPr="004528A9" w:rsidRDefault="00AD4784" w:rsidP="00AD4784">
      <w:pPr>
        <w:pStyle w:val="TEXT"/>
        <w:suppressAutoHyphens/>
        <w:spacing w:after="170" w:line="240" w:lineRule="auto"/>
        <w:rPr>
          <w:rStyle w:val="hyper"/>
          <w:rFonts w:ascii="Century Gothic" w:hAnsi="Century Gothic"/>
          <w:color w:val="auto"/>
          <w:sz w:val="16"/>
          <w:szCs w:val="16"/>
        </w:rPr>
      </w:pPr>
      <w:r w:rsidRPr="004528A9">
        <w:rPr>
          <w:rFonts w:ascii="Century Gothic" w:hAnsi="Century Gothic"/>
          <w:color w:val="auto"/>
          <w:sz w:val="16"/>
          <w:szCs w:val="16"/>
        </w:rPr>
        <w:t>Cancer Australia</w:t>
      </w:r>
      <w:r w:rsidRPr="004528A9">
        <w:rPr>
          <w:rFonts w:ascii="Century Gothic" w:hAnsi="Century Gothic"/>
          <w:color w:val="auto"/>
          <w:sz w:val="16"/>
          <w:szCs w:val="16"/>
        </w:rPr>
        <w:br/>
        <w:t>Locked Bag 3 Strawberry Hills NSW 2012 Australia</w:t>
      </w:r>
      <w:r w:rsidRPr="004528A9">
        <w:rPr>
          <w:rFonts w:ascii="Century Gothic" w:hAnsi="Century Gothic"/>
          <w:color w:val="auto"/>
          <w:sz w:val="16"/>
          <w:szCs w:val="16"/>
        </w:rPr>
        <w:br/>
        <w:t>Tel: +61 2 9357 9400  Fax: +61 2 9357 9477</w:t>
      </w:r>
      <w:r w:rsidRPr="004528A9">
        <w:rPr>
          <w:rFonts w:ascii="Century Gothic" w:hAnsi="Century Gothic"/>
          <w:color w:val="auto"/>
          <w:sz w:val="16"/>
          <w:szCs w:val="16"/>
        </w:rPr>
        <w:br/>
      </w:r>
      <w:hyperlink r:id="rId12" w:history="1">
        <w:r w:rsidRPr="004528A9">
          <w:rPr>
            <w:rStyle w:val="hyper"/>
            <w:rFonts w:ascii="Century Gothic" w:hAnsi="Century Gothic"/>
            <w:color w:val="auto"/>
            <w:sz w:val="16"/>
            <w:szCs w:val="16"/>
            <w:u w:val="none"/>
          </w:rPr>
          <w:t>canceraustralia.gov.au</w:t>
        </w:r>
      </w:hyperlink>
    </w:p>
    <w:p w14:paraId="2D9F87C0" w14:textId="77777777" w:rsidR="00AD4784" w:rsidRPr="004528A9" w:rsidRDefault="00AD4784" w:rsidP="00AD4784">
      <w:pPr>
        <w:pStyle w:val="TEXT"/>
        <w:suppressAutoHyphens/>
        <w:spacing w:after="170" w:line="240" w:lineRule="auto"/>
        <w:rPr>
          <w:rFonts w:ascii="Century Gothic" w:hAnsi="Century Gothic"/>
          <w:color w:val="auto"/>
          <w:sz w:val="16"/>
          <w:szCs w:val="16"/>
        </w:rPr>
      </w:pPr>
      <w:r w:rsidRPr="004528A9">
        <w:rPr>
          <w:rFonts w:ascii="Century Gothic" w:hAnsi="Century Gothic"/>
          <w:color w:val="auto"/>
          <w:sz w:val="16"/>
          <w:szCs w:val="16"/>
        </w:rPr>
        <w:t xml:space="preserve">© Cancer </w:t>
      </w:r>
      <w:r w:rsidR="00AB61A3" w:rsidRPr="004528A9">
        <w:rPr>
          <w:rFonts w:ascii="Century Gothic" w:hAnsi="Century Gothic"/>
          <w:color w:val="auto"/>
          <w:sz w:val="16"/>
          <w:szCs w:val="16"/>
        </w:rPr>
        <w:t>Australia 2021</w:t>
      </w:r>
      <w:r w:rsidRPr="004528A9">
        <w:rPr>
          <w:rFonts w:ascii="Century Gothic" w:hAnsi="Century Gothic"/>
          <w:color w:val="auto"/>
          <w:sz w:val="16"/>
          <w:szCs w:val="16"/>
        </w:rPr>
        <w:t>.</w:t>
      </w:r>
    </w:p>
    <w:p w14:paraId="5C279AF7" w14:textId="77777777" w:rsidR="00AD4784" w:rsidRPr="004528A9" w:rsidRDefault="00AD4784" w:rsidP="00AD4784">
      <w:pPr>
        <w:pStyle w:val="TEXT"/>
        <w:suppressAutoHyphens/>
        <w:spacing w:after="170" w:line="240" w:lineRule="auto"/>
        <w:rPr>
          <w:rFonts w:ascii="Century Gothic" w:hAnsi="Century Gothic"/>
          <w:color w:val="auto"/>
          <w:sz w:val="16"/>
          <w:szCs w:val="16"/>
        </w:rPr>
      </w:pPr>
      <w:r w:rsidRPr="004528A9">
        <w:rPr>
          <w:rFonts w:ascii="Century Gothic" w:hAnsi="Century Gothic"/>
          <w:color w:val="auto"/>
          <w:sz w:val="16"/>
          <w:szCs w:val="16"/>
        </w:rPr>
        <w:t xml:space="preserve">ISBN Online: </w:t>
      </w:r>
      <w:r w:rsidR="00C63A2E" w:rsidRPr="004528A9">
        <w:rPr>
          <w:rFonts w:ascii="Century Gothic" w:hAnsi="Century Gothic"/>
          <w:color w:val="auto"/>
          <w:sz w:val="16"/>
          <w:szCs w:val="16"/>
        </w:rPr>
        <w:t>978-1-74127-010-5</w:t>
      </w:r>
    </w:p>
    <w:p w14:paraId="7670DF7D" w14:textId="77777777" w:rsidR="00AD4784" w:rsidRPr="004528A9" w:rsidRDefault="00AD4784" w:rsidP="00AD4784">
      <w:pPr>
        <w:pStyle w:val="TEXT"/>
        <w:suppressAutoHyphens/>
        <w:spacing w:after="0" w:line="240" w:lineRule="auto"/>
        <w:rPr>
          <w:rFonts w:ascii="Century Gothic" w:hAnsi="Century Gothic"/>
          <w:b/>
          <w:color w:val="auto"/>
          <w:sz w:val="16"/>
          <w:szCs w:val="16"/>
        </w:rPr>
      </w:pPr>
      <w:r w:rsidRPr="004528A9">
        <w:rPr>
          <w:rFonts w:ascii="Century Gothic" w:hAnsi="Century Gothic"/>
          <w:b/>
          <w:color w:val="auto"/>
          <w:sz w:val="16"/>
          <w:szCs w:val="16"/>
        </w:rPr>
        <w:t>Recommended citation</w:t>
      </w:r>
    </w:p>
    <w:p w14:paraId="633ABA31" w14:textId="77777777" w:rsidR="00AD4784" w:rsidRPr="004528A9" w:rsidRDefault="00AD4784" w:rsidP="00AD4784">
      <w:pPr>
        <w:pStyle w:val="TEXT"/>
        <w:suppressAutoHyphens/>
        <w:spacing w:after="170" w:line="240" w:lineRule="auto"/>
        <w:rPr>
          <w:rFonts w:ascii="Century Gothic" w:hAnsi="Century Gothic"/>
          <w:color w:val="auto"/>
          <w:spacing w:val="-2"/>
          <w:sz w:val="16"/>
          <w:szCs w:val="16"/>
        </w:rPr>
      </w:pPr>
      <w:r w:rsidRPr="004528A9">
        <w:rPr>
          <w:rFonts w:ascii="Century Gothic" w:hAnsi="Century Gothic"/>
          <w:color w:val="auto"/>
          <w:spacing w:val="-2"/>
          <w:sz w:val="16"/>
          <w:szCs w:val="16"/>
        </w:rPr>
        <w:t xml:space="preserve">Cancer Australia, </w:t>
      </w:r>
      <w:r w:rsidR="00AB61A3" w:rsidRPr="004528A9">
        <w:rPr>
          <w:rFonts w:ascii="Century Gothic" w:hAnsi="Century Gothic"/>
          <w:color w:val="auto"/>
          <w:sz w:val="16"/>
          <w:szCs w:val="16"/>
        </w:rPr>
        <w:t>2021</w:t>
      </w:r>
      <w:r w:rsidRPr="004528A9">
        <w:rPr>
          <w:rFonts w:ascii="Century Gothic" w:hAnsi="Century Gothic"/>
          <w:color w:val="auto"/>
          <w:spacing w:val="-2"/>
          <w:sz w:val="16"/>
          <w:szCs w:val="16"/>
        </w:rPr>
        <w:t xml:space="preserve">. </w:t>
      </w:r>
      <w:r w:rsidR="00C63A2E" w:rsidRPr="004528A9">
        <w:rPr>
          <w:rFonts w:ascii="Century Gothic" w:hAnsi="Century Gothic"/>
          <w:i/>
          <w:iCs/>
          <w:color w:val="auto"/>
          <w:sz w:val="16"/>
          <w:szCs w:val="16"/>
        </w:rPr>
        <w:t>The impact of COVID-19 on cancer-related medical services and procedures in Australia in 2020: Examination of MBS claims data for 2020, nationally and by jurisdiction</w:t>
      </w:r>
      <w:r w:rsidRPr="004528A9">
        <w:rPr>
          <w:rFonts w:ascii="Century Gothic" w:hAnsi="Century Gothic"/>
          <w:color w:val="auto"/>
          <w:spacing w:val="-2"/>
          <w:sz w:val="16"/>
          <w:szCs w:val="16"/>
        </w:rPr>
        <w:t>, Cancer Australia, Surry Hills, NSW.</w:t>
      </w:r>
    </w:p>
    <w:p w14:paraId="5F05C656" w14:textId="77777777" w:rsidR="00AD4784" w:rsidRPr="004528A9" w:rsidRDefault="00C63A2E" w:rsidP="00AD4784">
      <w:pPr>
        <w:pStyle w:val="TEXT"/>
        <w:suppressAutoHyphens/>
        <w:spacing w:after="170" w:line="240" w:lineRule="auto"/>
        <w:rPr>
          <w:rFonts w:ascii="Century Gothic" w:hAnsi="Century Gothic"/>
          <w:color w:val="auto"/>
          <w:spacing w:val="-2"/>
          <w:sz w:val="16"/>
          <w:szCs w:val="16"/>
        </w:rPr>
      </w:pPr>
      <w:r w:rsidRPr="004528A9">
        <w:rPr>
          <w:rFonts w:ascii="Century Gothic" w:hAnsi="Century Gothic"/>
          <w:i/>
          <w:iCs/>
          <w:color w:val="auto"/>
          <w:sz w:val="16"/>
          <w:szCs w:val="16"/>
        </w:rPr>
        <w:t>The impact of COVID-19 on cancer-related medical services and procedures in Australia in 2020: Examination of MBS claims data for 2020, nationally and by jurisdiction</w:t>
      </w:r>
      <w:r w:rsidR="00AD4784" w:rsidRPr="004528A9">
        <w:rPr>
          <w:rFonts w:ascii="Century Gothic" w:hAnsi="Century Gothic"/>
          <w:i/>
          <w:iCs/>
          <w:color w:val="auto"/>
          <w:sz w:val="16"/>
          <w:szCs w:val="16"/>
        </w:rPr>
        <w:t xml:space="preserve"> </w:t>
      </w:r>
      <w:r w:rsidR="00AD4784" w:rsidRPr="004528A9">
        <w:rPr>
          <w:rFonts w:ascii="Century Gothic" w:hAnsi="Century Gothic"/>
          <w:color w:val="auto"/>
          <w:spacing w:val="-2"/>
          <w:sz w:val="16"/>
          <w:szCs w:val="16"/>
        </w:rPr>
        <w:t xml:space="preserve">can be downloaded from the Cancer Australia website: </w:t>
      </w:r>
      <w:hyperlink r:id="rId13" w:history="1">
        <w:r w:rsidR="00AD4784" w:rsidRPr="004528A9">
          <w:rPr>
            <w:rStyle w:val="hyper"/>
            <w:rFonts w:ascii="Century Gothic" w:hAnsi="Century Gothic"/>
            <w:color w:val="auto"/>
            <w:spacing w:val="-2"/>
            <w:sz w:val="16"/>
            <w:szCs w:val="16"/>
            <w:u w:val="none"/>
          </w:rPr>
          <w:t>canceraustralia.gov.au</w:t>
        </w:r>
      </w:hyperlink>
      <w:r w:rsidR="00AD4784" w:rsidRPr="004528A9">
        <w:rPr>
          <w:rFonts w:ascii="Century Gothic" w:hAnsi="Century Gothic"/>
          <w:color w:val="auto"/>
          <w:spacing w:val="-2"/>
          <w:sz w:val="16"/>
          <w:szCs w:val="16"/>
        </w:rPr>
        <w:t xml:space="preserve"> or ordered by telephone: 1800 624 973.</w:t>
      </w:r>
    </w:p>
    <w:p w14:paraId="7B96B797" w14:textId="77777777" w:rsidR="00AD4784" w:rsidRPr="00AD4784" w:rsidRDefault="00AD4784" w:rsidP="00AD4784">
      <w:pPr>
        <w:pStyle w:val="TEXT"/>
        <w:suppressAutoHyphens/>
        <w:spacing w:after="113" w:line="240" w:lineRule="auto"/>
        <w:rPr>
          <w:rFonts w:ascii="Century Gothic" w:hAnsi="Century Gothic"/>
          <w:b/>
          <w:sz w:val="16"/>
          <w:szCs w:val="16"/>
        </w:rPr>
      </w:pPr>
      <w:r w:rsidRPr="00AD4784">
        <w:rPr>
          <w:rFonts w:ascii="Century Gothic" w:hAnsi="Century Gothic"/>
          <w:b/>
          <w:sz w:val="16"/>
          <w:szCs w:val="16"/>
        </w:rPr>
        <w:t>Copyright statements</w:t>
      </w:r>
    </w:p>
    <w:p w14:paraId="600E20B4" w14:textId="77777777" w:rsidR="00AD4784" w:rsidRPr="00AD4784" w:rsidRDefault="00AD4784" w:rsidP="00AD4784">
      <w:pPr>
        <w:pStyle w:val="TEXT"/>
        <w:suppressAutoHyphens/>
        <w:spacing w:after="170" w:line="240" w:lineRule="auto"/>
        <w:rPr>
          <w:rFonts w:ascii="Century Gothic" w:hAnsi="Century Gothic"/>
          <w:sz w:val="16"/>
          <w:szCs w:val="16"/>
        </w:rPr>
      </w:pPr>
      <w:r w:rsidRPr="00AD4784">
        <w:rPr>
          <w:rFonts w:ascii="Century Gothic" w:hAnsi="Century Gothic"/>
          <w:b/>
          <w:sz w:val="16"/>
          <w:szCs w:val="16"/>
        </w:rPr>
        <w:t>Paper-based publications</w:t>
      </w:r>
      <w:r w:rsidRPr="00AD4784">
        <w:rPr>
          <w:rFonts w:ascii="Century Gothic" w:hAnsi="Century Gothic"/>
          <w:b/>
          <w:sz w:val="16"/>
          <w:szCs w:val="16"/>
        </w:rPr>
        <w:br/>
      </w:r>
      <w:r w:rsidRPr="00AD4784">
        <w:rPr>
          <w:rFonts w:ascii="Century Gothic" w:hAnsi="Century Gothic"/>
          <w:sz w:val="16"/>
          <w:szCs w:val="16"/>
        </w:rP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AD4784">
        <w:rPr>
          <w:rFonts w:ascii="Century Gothic" w:hAnsi="Century Gothic"/>
          <w:i/>
          <w:iCs/>
          <w:sz w:val="16"/>
          <w:szCs w:val="16"/>
        </w:rPr>
        <w:t>Copyright Act 1968</w:t>
      </w:r>
      <w:r w:rsidRPr="00AD4784">
        <w:rPr>
          <w:rFonts w:ascii="Century Gothic" w:hAnsi="Century Gothic"/>
          <w:sz w:val="16"/>
          <w:szCs w:val="16"/>
        </w:rPr>
        <w:t xml:space="preserve"> or allowed by this copyright notice, all other rights are reserved and you are not allowed to reproduce the whole or any part of this work in any way (electronic or otherwise) without first being given the specific written permission from Cancer Australia to do so. Requests and inquiries concerning reproduction and rights are to be sent to the Publications and Copyright contact officer, Cancer Australia, Locked Bag 3, Strawberry Hills, NSW 2012.</w:t>
      </w:r>
    </w:p>
    <w:p w14:paraId="1909752E" w14:textId="77777777" w:rsidR="00AD4784" w:rsidRPr="00AD4784" w:rsidRDefault="00AD4784" w:rsidP="00AD4784">
      <w:pPr>
        <w:pStyle w:val="TEXT"/>
        <w:suppressAutoHyphens/>
        <w:spacing w:after="170" w:line="240" w:lineRule="auto"/>
        <w:rPr>
          <w:rFonts w:ascii="Century Gothic" w:hAnsi="Century Gothic"/>
          <w:spacing w:val="-2"/>
          <w:sz w:val="16"/>
          <w:szCs w:val="16"/>
        </w:rPr>
      </w:pPr>
      <w:r w:rsidRPr="00AD4784">
        <w:rPr>
          <w:rFonts w:ascii="Century Gothic" w:hAnsi="Century Gothic"/>
          <w:b/>
          <w:spacing w:val="-2"/>
          <w:sz w:val="16"/>
          <w:szCs w:val="16"/>
        </w:rPr>
        <w:t>Internet sites</w:t>
      </w:r>
      <w:r w:rsidRPr="00AD4784">
        <w:rPr>
          <w:rFonts w:ascii="Century Gothic" w:hAnsi="Century Gothic"/>
          <w:b/>
          <w:spacing w:val="-2"/>
          <w:sz w:val="16"/>
          <w:szCs w:val="16"/>
        </w:rPr>
        <w:br/>
      </w:r>
      <w:r w:rsidRPr="00AD4784">
        <w:rPr>
          <w:rFonts w:ascii="Century Gothic" w:hAnsi="Century Gothic"/>
          <w:spacing w:val="-2"/>
          <w:sz w:val="16"/>
          <w:szCs w:val="16"/>
        </w:rP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AD4784">
        <w:rPr>
          <w:rFonts w:ascii="Century Gothic" w:hAnsi="Century Gothic"/>
          <w:i/>
          <w:iCs/>
          <w:spacing w:val="-2"/>
          <w:sz w:val="16"/>
          <w:szCs w:val="16"/>
        </w:rPr>
        <w:t>Copyright Act 1968</w:t>
      </w:r>
      <w:r w:rsidRPr="00AD4784">
        <w:rPr>
          <w:rFonts w:ascii="Century Gothic" w:hAnsi="Century Gothic"/>
          <w:spacing w:val="-2"/>
          <w:sz w:val="16"/>
          <w:szCs w:val="16"/>
        </w:rPr>
        <w:t xml:space="preserve"> or allowed by this copyright notice, all other rights are reserved and you are not allowed to reproduce the whole or any part of this work in any way (electronic or otherwise) without first being given the specific written permission from Cancer Australia to do so. Requests and inquiries concerning  reproduction and rights are to be sent to the Publications and Copyright contact officer, Cancer Australia, </w:t>
      </w:r>
      <w:r w:rsidRPr="00AD4784">
        <w:rPr>
          <w:rFonts w:ascii="Century Gothic" w:hAnsi="Century Gothic"/>
          <w:spacing w:val="-2"/>
          <w:sz w:val="16"/>
          <w:szCs w:val="16"/>
        </w:rPr>
        <w:br/>
        <w:t>Locked Bag 3, Strawberry Hills, NSW 2012.</w:t>
      </w:r>
    </w:p>
    <w:p w14:paraId="1AE12CBF" w14:textId="77777777" w:rsidR="00AD4784" w:rsidRPr="00AD4784" w:rsidRDefault="00AD4784" w:rsidP="00AD4784">
      <w:pPr>
        <w:pStyle w:val="TEXT"/>
        <w:suppressAutoHyphens/>
        <w:spacing w:after="0" w:line="240" w:lineRule="auto"/>
        <w:rPr>
          <w:rFonts w:ascii="Century Gothic" w:hAnsi="Century Gothic"/>
          <w:b/>
          <w:spacing w:val="-2"/>
          <w:sz w:val="16"/>
          <w:szCs w:val="16"/>
        </w:rPr>
      </w:pPr>
      <w:r w:rsidRPr="00AD4784">
        <w:rPr>
          <w:rFonts w:ascii="Century Gothic" w:hAnsi="Century Gothic"/>
          <w:b/>
          <w:spacing w:val="-2"/>
          <w:sz w:val="16"/>
          <w:szCs w:val="16"/>
        </w:rPr>
        <w:t>Disclaimer</w:t>
      </w:r>
    </w:p>
    <w:p w14:paraId="4B7E565B" w14:textId="77777777" w:rsidR="00AD4784" w:rsidRPr="00AD4784" w:rsidRDefault="00AD4784" w:rsidP="00AD4784">
      <w:pPr>
        <w:pStyle w:val="TEXT"/>
        <w:suppressAutoHyphens/>
        <w:spacing w:line="240" w:lineRule="auto"/>
        <w:rPr>
          <w:rFonts w:ascii="Century Gothic" w:hAnsi="Century Gothic"/>
          <w:spacing w:val="-2"/>
          <w:sz w:val="16"/>
          <w:szCs w:val="16"/>
        </w:rPr>
      </w:pPr>
      <w:r w:rsidRPr="00AD4784">
        <w:rPr>
          <w:rFonts w:ascii="Century Gothic" w:hAnsi="Century Gothic"/>
          <w:spacing w:val="-2"/>
          <w:sz w:val="16"/>
          <w:szCs w:val="16"/>
        </w:rPr>
        <w:t>Cancer Australia does not accept any liability for any injury, loss or damage incurred by use of or reliance on the information. Cancer Australia develops material based on the best available evidence, however it cannot guarantee and assumes no legal liability or responsibility for the currency or completeness of the information.</w:t>
      </w:r>
    </w:p>
    <w:p w14:paraId="48C3B906" w14:textId="77777777" w:rsidR="004149B4" w:rsidRDefault="004149B4">
      <w:pPr>
        <w:sectPr w:rsidR="004149B4" w:rsidSect="00B24D90">
          <w:footnotePr>
            <w:numFmt w:val="chicago"/>
          </w:footnotePr>
          <w:pgSz w:w="11909" w:h="16834" w:code="9"/>
          <w:pgMar w:top="1440" w:right="1440" w:bottom="1440" w:left="1440" w:header="720" w:footer="504" w:gutter="0"/>
          <w:pgNumType w:fmt="lowerRoman"/>
          <w:cols w:space="720"/>
          <w:docGrid w:linePitch="360"/>
        </w:sectPr>
      </w:pPr>
    </w:p>
    <w:p w14:paraId="179DFE76" w14:textId="77777777" w:rsidR="00D16A9B" w:rsidRDefault="00A036E1">
      <w:pPr>
        <w:pStyle w:val="Heading1c"/>
      </w:pPr>
      <w:r>
        <w:lastRenderedPageBreak/>
        <w:t>Contents</w:t>
      </w:r>
    </w:p>
    <w:p w14:paraId="3722C983" w14:textId="69B16486" w:rsidR="00A243D3" w:rsidRDefault="000D590C">
      <w:pPr>
        <w:pStyle w:val="TOC1"/>
        <w:rPr>
          <w:rFonts w:asciiTheme="minorHAnsi" w:eastAsiaTheme="minorEastAsia" w:hAnsiTheme="minorHAnsi" w:cstheme="minorBidi"/>
          <w:b w:val="0"/>
          <w:bCs w:val="0"/>
          <w:color w:val="auto"/>
          <w:sz w:val="22"/>
          <w:szCs w:val="22"/>
          <w:lang w:eastAsia="en-AU"/>
        </w:rPr>
      </w:pPr>
      <w:r>
        <w:fldChar w:fldCharType="begin"/>
      </w:r>
      <w:r w:rsidR="00A036E1">
        <w:instrText xml:space="preserve"> TOC \o "1-2" \z \t "Heading 1a,1,Heading 1b,4" </w:instrText>
      </w:r>
      <w:r>
        <w:fldChar w:fldCharType="separate"/>
      </w:r>
      <w:r w:rsidR="00A243D3">
        <w:t>Acknowledgements</w:t>
      </w:r>
      <w:r w:rsidR="00A243D3">
        <w:rPr>
          <w:webHidden/>
        </w:rPr>
        <w:tab/>
      </w:r>
      <w:r w:rsidR="00A243D3">
        <w:rPr>
          <w:webHidden/>
        </w:rPr>
        <w:fldChar w:fldCharType="begin"/>
      </w:r>
      <w:r w:rsidR="00A243D3">
        <w:rPr>
          <w:webHidden/>
        </w:rPr>
        <w:instrText xml:space="preserve"> PAGEREF _Toc84363175 \h </w:instrText>
      </w:r>
      <w:r w:rsidR="00A243D3">
        <w:rPr>
          <w:webHidden/>
        </w:rPr>
      </w:r>
      <w:r w:rsidR="00A243D3">
        <w:rPr>
          <w:webHidden/>
        </w:rPr>
        <w:fldChar w:fldCharType="separate"/>
      </w:r>
      <w:r w:rsidR="00A243D3">
        <w:rPr>
          <w:webHidden/>
        </w:rPr>
        <w:t>vi</w:t>
      </w:r>
      <w:r w:rsidR="00A243D3">
        <w:rPr>
          <w:webHidden/>
        </w:rPr>
        <w:fldChar w:fldCharType="end"/>
      </w:r>
    </w:p>
    <w:p w14:paraId="4C996514" w14:textId="4A50475F" w:rsidR="00A243D3" w:rsidRDefault="00A243D3">
      <w:pPr>
        <w:pStyle w:val="TOC1"/>
        <w:rPr>
          <w:rFonts w:asciiTheme="minorHAnsi" w:eastAsiaTheme="minorEastAsia" w:hAnsiTheme="minorHAnsi" w:cstheme="minorBidi"/>
          <w:b w:val="0"/>
          <w:bCs w:val="0"/>
          <w:color w:val="auto"/>
          <w:sz w:val="22"/>
          <w:szCs w:val="22"/>
          <w:lang w:eastAsia="en-AU"/>
        </w:rPr>
      </w:pPr>
      <w:r>
        <w:t>Key Findings</w:t>
      </w:r>
      <w:r>
        <w:rPr>
          <w:webHidden/>
        </w:rPr>
        <w:tab/>
      </w:r>
      <w:r>
        <w:rPr>
          <w:webHidden/>
        </w:rPr>
        <w:fldChar w:fldCharType="begin"/>
      </w:r>
      <w:r>
        <w:rPr>
          <w:webHidden/>
        </w:rPr>
        <w:instrText xml:space="preserve"> PAGEREF _Toc84363176 \h </w:instrText>
      </w:r>
      <w:r>
        <w:rPr>
          <w:webHidden/>
        </w:rPr>
      </w:r>
      <w:r>
        <w:rPr>
          <w:webHidden/>
        </w:rPr>
        <w:fldChar w:fldCharType="separate"/>
      </w:r>
      <w:r>
        <w:rPr>
          <w:webHidden/>
        </w:rPr>
        <w:t>vii</w:t>
      </w:r>
      <w:r>
        <w:rPr>
          <w:webHidden/>
        </w:rPr>
        <w:fldChar w:fldCharType="end"/>
      </w:r>
    </w:p>
    <w:p w14:paraId="33C79CD6" w14:textId="5E5536B1" w:rsidR="00A243D3" w:rsidRDefault="00A243D3">
      <w:pPr>
        <w:pStyle w:val="TOC1"/>
        <w:rPr>
          <w:rFonts w:asciiTheme="minorHAnsi" w:eastAsiaTheme="minorEastAsia" w:hAnsiTheme="minorHAnsi" w:cstheme="minorBidi"/>
          <w:b w:val="0"/>
          <w:bCs w:val="0"/>
          <w:color w:val="auto"/>
          <w:sz w:val="22"/>
          <w:szCs w:val="22"/>
          <w:lang w:eastAsia="en-AU"/>
        </w:rPr>
      </w:pPr>
      <w:r>
        <w:t>1</w:t>
      </w:r>
      <w:r>
        <w:rPr>
          <w:rFonts w:asciiTheme="minorHAnsi" w:eastAsiaTheme="minorEastAsia" w:hAnsiTheme="minorHAnsi" w:cstheme="minorBidi"/>
          <w:b w:val="0"/>
          <w:bCs w:val="0"/>
          <w:color w:val="auto"/>
          <w:sz w:val="22"/>
          <w:szCs w:val="22"/>
          <w:lang w:eastAsia="en-AU"/>
        </w:rPr>
        <w:tab/>
      </w:r>
      <w:r>
        <w:t>Approach</w:t>
      </w:r>
      <w:r>
        <w:rPr>
          <w:webHidden/>
        </w:rPr>
        <w:tab/>
      </w:r>
      <w:r>
        <w:rPr>
          <w:webHidden/>
        </w:rPr>
        <w:fldChar w:fldCharType="begin"/>
      </w:r>
      <w:r>
        <w:rPr>
          <w:webHidden/>
        </w:rPr>
        <w:instrText xml:space="preserve"> PAGEREF _Toc84363177 \h </w:instrText>
      </w:r>
      <w:r>
        <w:rPr>
          <w:webHidden/>
        </w:rPr>
      </w:r>
      <w:r>
        <w:rPr>
          <w:webHidden/>
        </w:rPr>
        <w:fldChar w:fldCharType="separate"/>
      </w:r>
      <w:r>
        <w:rPr>
          <w:webHidden/>
        </w:rPr>
        <w:t>1</w:t>
      </w:r>
      <w:r>
        <w:rPr>
          <w:webHidden/>
        </w:rPr>
        <w:fldChar w:fldCharType="end"/>
      </w:r>
    </w:p>
    <w:p w14:paraId="0BD89F27" w14:textId="045EBEE2" w:rsidR="00A243D3" w:rsidRDefault="00A243D3">
      <w:pPr>
        <w:pStyle w:val="TOC1"/>
        <w:rPr>
          <w:rFonts w:asciiTheme="minorHAnsi" w:eastAsiaTheme="minorEastAsia" w:hAnsiTheme="minorHAnsi" w:cstheme="minorBidi"/>
          <w:b w:val="0"/>
          <w:bCs w:val="0"/>
          <w:color w:val="auto"/>
          <w:sz w:val="22"/>
          <w:szCs w:val="22"/>
          <w:lang w:eastAsia="en-AU"/>
        </w:rPr>
      </w:pPr>
      <w:r>
        <w:t>2</w:t>
      </w:r>
      <w:r>
        <w:rPr>
          <w:rFonts w:asciiTheme="minorHAnsi" w:eastAsiaTheme="minorEastAsia" w:hAnsiTheme="minorHAnsi" w:cstheme="minorBidi"/>
          <w:b w:val="0"/>
          <w:bCs w:val="0"/>
          <w:color w:val="auto"/>
          <w:sz w:val="22"/>
          <w:szCs w:val="22"/>
          <w:lang w:eastAsia="en-AU"/>
        </w:rPr>
        <w:tab/>
      </w:r>
      <w:r>
        <w:t>Methodology</w:t>
      </w:r>
      <w:r>
        <w:rPr>
          <w:webHidden/>
        </w:rPr>
        <w:tab/>
      </w:r>
      <w:r>
        <w:rPr>
          <w:webHidden/>
        </w:rPr>
        <w:fldChar w:fldCharType="begin"/>
      </w:r>
      <w:r>
        <w:rPr>
          <w:webHidden/>
        </w:rPr>
        <w:instrText xml:space="preserve"> PAGEREF _Toc84363178 \h </w:instrText>
      </w:r>
      <w:r>
        <w:rPr>
          <w:webHidden/>
        </w:rPr>
      </w:r>
      <w:r>
        <w:rPr>
          <w:webHidden/>
        </w:rPr>
        <w:fldChar w:fldCharType="separate"/>
      </w:r>
      <w:r>
        <w:rPr>
          <w:webHidden/>
        </w:rPr>
        <w:t>3</w:t>
      </w:r>
      <w:r>
        <w:rPr>
          <w:webHidden/>
        </w:rPr>
        <w:fldChar w:fldCharType="end"/>
      </w:r>
    </w:p>
    <w:p w14:paraId="105E53BE" w14:textId="22CA51B6" w:rsidR="00A243D3" w:rsidRDefault="00A243D3">
      <w:pPr>
        <w:pStyle w:val="TOC1"/>
        <w:rPr>
          <w:rFonts w:asciiTheme="minorHAnsi" w:eastAsiaTheme="minorEastAsia" w:hAnsiTheme="minorHAnsi" w:cstheme="minorBidi"/>
          <w:b w:val="0"/>
          <w:bCs w:val="0"/>
          <w:color w:val="auto"/>
          <w:sz w:val="22"/>
          <w:szCs w:val="22"/>
          <w:lang w:eastAsia="en-AU"/>
        </w:rPr>
      </w:pPr>
      <w:r>
        <w:t>3</w:t>
      </w:r>
      <w:r>
        <w:rPr>
          <w:rFonts w:asciiTheme="minorHAnsi" w:eastAsiaTheme="minorEastAsia" w:hAnsiTheme="minorHAnsi" w:cstheme="minorBidi"/>
          <w:b w:val="0"/>
          <w:bCs w:val="0"/>
          <w:color w:val="auto"/>
          <w:sz w:val="22"/>
          <w:szCs w:val="22"/>
          <w:lang w:eastAsia="en-AU"/>
        </w:rPr>
        <w:tab/>
      </w:r>
      <w:r>
        <w:t>Diagnostic procedures</w:t>
      </w:r>
      <w:r>
        <w:rPr>
          <w:webHidden/>
        </w:rPr>
        <w:tab/>
      </w:r>
      <w:r>
        <w:rPr>
          <w:webHidden/>
        </w:rPr>
        <w:fldChar w:fldCharType="begin"/>
      </w:r>
      <w:r>
        <w:rPr>
          <w:webHidden/>
        </w:rPr>
        <w:instrText xml:space="preserve"> PAGEREF _Toc84363179 \h </w:instrText>
      </w:r>
      <w:r>
        <w:rPr>
          <w:webHidden/>
        </w:rPr>
      </w:r>
      <w:r>
        <w:rPr>
          <w:webHidden/>
        </w:rPr>
        <w:fldChar w:fldCharType="separate"/>
      </w:r>
      <w:r>
        <w:rPr>
          <w:webHidden/>
        </w:rPr>
        <w:t>4</w:t>
      </w:r>
      <w:r>
        <w:rPr>
          <w:webHidden/>
        </w:rPr>
        <w:fldChar w:fldCharType="end"/>
      </w:r>
    </w:p>
    <w:p w14:paraId="0DBF58D3" w14:textId="61B5E14D" w:rsidR="00A243D3" w:rsidRDefault="00A243D3">
      <w:pPr>
        <w:pStyle w:val="TOC2"/>
        <w:rPr>
          <w:rFonts w:asciiTheme="minorHAnsi" w:eastAsiaTheme="minorEastAsia" w:hAnsiTheme="minorHAnsi" w:cstheme="minorBidi"/>
          <w:color w:val="auto"/>
          <w:sz w:val="22"/>
          <w:szCs w:val="22"/>
          <w:lang w:eastAsia="en-AU"/>
        </w:rPr>
      </w:pPr>
      <w:r w:rsidRPr="00A2511A">
        <w:rPr>
          <w:kern w:val="32"/>
        </w:rPr>
        <w:t>3.1</w:t>
      </w:r>
      <w:r>
        <w:rPr>
          <w:rFonts w:asciiTheme="minorHAnsi" w:eastAsiaTheme="minorEastAsia" w:hAnsiTheme="minorHAnsi" w:cstheme="minorBidi"/>
          <w:color w:val="auto"/>
          <w:sz w:val="22"/>
          <w:szCs w:val="22"/>
          <w:lang w:eastAsia="en-AU"/>
        </w:rPr>
        <w:tab/>
      </w:r>
      <w:r>
        <w:t>Breast cancer</w:t>
      </w:r>
      <w:r>
        <w:rPr>
          <w:webHidden/>
        </w:rPr>
        <w:tab/>
      </w:r>
      <w:r>
        <w:rPr>
          <w:webHidden/>
        </w:rPr>
        <w:fldChar w:fldCharType="begin"/>
      </w:r>
      <w:r>
        <w:rPr>
          <w:webHidden/>
        </w:rPr>
        <w:instrText xml:space="preserve"> PAGEREF _Toc84363180 \h </w:instrText>
      </w:r>
      <w:r>
        <w:rPr>
          <w:webHidden/>
        </w:rPr>
      </w:r>
      <w:r>
        <w:rPr>
          <w:webHidden/>
        </w:rPr>
        <w:fldChar w:fldCharType="separate"/>
      </w:r>
      <w:r>
        <w:rPr>
          <w:webHidden/>
        </w:rPr>
        <w:t>5</w:t>
      </w:r>
      <w:r>
        <w:rPr>
          <w:webHidden/>
        </w:rPr>
        <w:fldChar w:fldCharType="end"/>
      </w:r>
    </w:p>
    <w:p w14:paraId="00BF3DFE" w14:textId="63A6C689" w:rsidR="00A243D3" w:rsidRDefault="00A243D3">
      <w:pPr>
        <w:pStyle w:val="TOC2"/>
        <w:rPr>
          <w:rFonts w:asciiTheme="minorHAnsi" w:eastAsiaTheme="minorEastAsia" w:hAnsiTheme="minorHAnsi" w:cstheme="minorBidi"/>
          <w:color w:val="auto"/>
          <w:sz w:val="22"/>
          <w:szCs w:val="22"/>
          <w:lang w:eastAsia="en-AU"/>
        </w:rPr>
      </w:pPr>
      <w:r w:rsidRPr="00A2511A">
        <w:rPr>
          <w:kern w:val="32"/>
        </w:rPr>
        <w:t>3.2</w:t>
      </w:r>
      <w:r>
        <w:rPr>
          <w:rFonts w:asciiTheme="minorHAnsi" w:eastAsiaTheme="minorEastAsia" w:hAnsiTheme="minorHAnsi" w:cstheme="minorBidi"/>
          <w:color w:val="auto"/>
          <w:sz w:val="22"/>
          <w:szCs w:val="22"/>
          <w:lang w:eastAsia="en-AU"/>
        </w:rPr>
        <w:tab/>
      </w:r>
      <w:r>
        <w:t>Colorectal cancer</w:t>
      </w:r>
      <w:r>
        <w:rPr>
          <w:webHidden/>
        </w:rPr>
        <w:tab/>
      </w:r>
      <w:r>
        <w:rPr>
          <w:webHidden/>
        </w:rPr>
        <w:fldChar w:fldCharType="begin"/>
      </w:r>
      <w:r>
        <w:rPr>
          <w:webHidden/>
        </w:rPr>
        <w:instrText xml:space="preserve"> PAGEREF _Toc84363181 \h </w:instrText>
      </w:r>
      <w:r>
        <w:rPr>
          <w:webHidden/>
        </w:rPr>
      </w:r>
      <w:r>
        <w:rPr>
          <w:webHidden/>
        </w:rPr>
        <w:fldChar w:fldCharType="separate"/>
      </w:r>
      <w:r>
        <w:rPr>
          <w:webHidden/>
        </w:rPr>
        <w:t>6</w:t>
      </w:r>
      <w:r>
        <w:rPr>
          <w:webHidden/>
        </w:rPr>
        <w:fldChar w:fldCharType="end"/>
      </w:r>
    </w:p>
    <w:p w14:paraId="43B9FA9C" w14:textId="278E3EEF" w:rsidR="00A243D3" w:rsidRDefault="00A243D3">
      <w:pPr>
        <w:pStyle w:val="TOC2"/>
        <w:rPr>
          <w:rFonts w:asciiTheme="minorHAnsi" w:eastAsiaTheme="minorEastAsia" w:hAnsiTheme="minorHAnsi" w:cstheme="minorBidi"/>
          <w:color w:val="auto"/>
          <w:sz w:val="22"/>
          <w:szCs w:val="22"/>
          <w:lang w:eastAsia="en-AU"/>
        </w:rPr>
      </w:pPr>
      <w:r w:rsidRPr="00A2511A">
        <w:rPr>
          <w:kern w:val="32"/>
        </w:rPr>
        <w:t>3.3</w:t>
      </w:r>
      <w:r>
        <w:rPr>
          <w:rFonts w:asciiTheme="minorHAnsi" w:eastAsiaTheme="minorEastAsia" w:hAnsiTheme="minorHAnsi" w:cstheme="minorBidi"/>
          <w:color w:val="auto"/>
          <w:sz w:val="22"/>
          <w:szCs w:val="22"/>
          <w:lang w:eastAsia="en-AU"/>
        </w:rPr>
        <w:tab/>
      </w:r>
      <w:r>
        <w:t>Kidney cancer</w:t>
      </w:r>
      <w:r>
        <w:rPr>
          <w:webHidden/>
        </w:rPr>
        <w:tab/>
      </w:r>
      <w:r>
        <w:rPr>
          <w:webHidden/>
        </w:rPr>
        <w:fldChar w:fldCharType="begin"/>
      </w:r>
      <w:r>
        <w:rPr>
          <w:webHidden/>
        </w:rPr>
        <w:instrText xml:space="preserve"> PAGEREF _Toc84363182 \h </w:instrText>
      </w:r>
      <w:r>
        <w:rPr>
          <w:webHidden/>
        </w:rPr>
      </w:r>
      <w:r>
        <w:rPr>
          <w:webHidden/>
        </w:rPr>
        <w:fldChar w:fldCharType="separate"/>
      </w:r>
      <w:r>
        <w:rPr>
          <w:webHidden/>
        </w:rPr>
        <w:t>7</w:t>
      </w:r>
      <w:r>
        <w:rPr>
          <w:webHidden/>
        </w:rPr>
        <w:fldChar w:fldCharType="end"/>
      </w:r>
    </w:p>
    <w:p w14:paraId="50D01B7F" w14:textId="2E8FE61D" w:rsidR="00A243D3" w:rsidRDefault="00A243D3">
      <w:pPr>
        <w:pStyle w:val="TOC2"/>
        <w:rPr>
          <w:rFonts w:asciiTheme="minorHAnsi" w:eastAsiaTheme="minorEastAsia" w:hAnsiTheme="minorHAnsi" w:cstheme="minorBidi"/>
          <w:color w:val="auto"/>
          <w:sz w:val="22"/>
          <w:szCs w:val="22"/>
          <w:lang w:eastAsia="en-AU"/>
        </w:rPr>
      </w:pPr>
      <w:r w:rsidRPr="00A2511A">
        <w:rPr>
          <w:kern w:val="32"/>
        </w:rPr>
        <w:t>3.4</w:t>
      </w:r>
      <w:r>
        <w:rPr>
          <w:rFonts w:asciiTheme="minorHAnsi" w:eastAsiaTheme="minorEastAsia" w:hAnsiTheme="minorHAnsi" w:cstheme="minorBidi"/>
          <w:color w:val="auto"/>
          <w:sz w:val="22"/>
          <w:szCs w:val="22"/>
          <w:lang w:eastAsia="en-AU"/>
        </w:rPr>
        <w:tab/>
      </w:r>
      <w:r>
        <w:t>Liver cancer</w:t>
      </w:r>
      <w:r>
        <w:rPr>
          <w:webHidden/>
        </w:rPr>
        <w:tab/>
      </w:r>
      <w:r>
        <w:rPr>
          <w:webHidden/>
        </w:rPr>
        <w:fldChar w:fldCharType="begin"/>
      </w:r>
      <w:r>
        <w:rPr>
          <w:webHidden/>
        </w:rPr>
        <w:instrText xml:space="preserve"> PAGEREF _Toc84363183 \h </w:instrText>
      </w:r>
      <w:r>
        <w:rPr>
          <w:webHidden/>
        </w:rPr>
      </w:r>
      <w:r>
        <w:rPr>
          <w:webHidden/>
        </w:rPr>
        <w:fldChar w:fldCharType="separate"/>
      </w:r>
      <w:r>
        <w:rPr>
          <w:webHidden/>
        </w:rPr>
        <w:t>8</w:t>
      </w:r>
      <w:r>
        <w:rPr>
          <w:webHidden/>
        </w:rPr>
        <w:fldChar w:fldCharType="end"/>
      </w:r>
    </w:p>
    <w:p w14:paraId="5ABBC0DC" w14:textId="01324C09" w:rsidR="00A243D3" w:rsidRDefault="00A243D3">
      <w:pPr>
        <w:pStyle w:val="TOC2"/>
        <w:rPr>
          <w:rFonts w:asciiTheme="minorHAnsi" w:eastAsiaTheme="minorEastAsia" w:hAnsiTheme="minorHAnsi" w:cstheme="minorBidi"/>
          <w:color w:val="auto"/>
          <w:sz w:val="22"/>
          <w:szCs w:val="22"/>
          <w:lang w:eastAsia="en-AU"/>
        </w:rPr>
      </w:pPr>
      <w:r w:rsidRPr="00A2511A">
        <w:rPr>
          <w:kern w:val="32"/>
        </w:rPr>
        <w:t>3.5</w:t>
      </w:r>
      <w:r>
        <w:rPr>
          <w:rFonts w:asciiTheme="minorHAnsi" w:eastAsiaTheme="minorEastAsia" w:hAnsiTheme="minorHAnsi" w:cstheme="minorBidi"/>
          <w:color w:val="auto"/>
          <w:sz w:val="22"/>
          <w:szCs w:val="22"/>
          <w:lang w:eastAsia="en-AU"/>
        </w:rPr>
        <w:tab/>
      </w:r>
      <w:r>
        <w:t>Lung cancer</w:t>
      </w:r>
      <w:r>
        <w:rPr>
          <w:webHidden/>
        </w:rPr>
        <w:tab/>
      </w:r>
      <w:r>
        <w:rPr>
          <w:webHidden/>
        </w:rPr>
        <w:fldChar w:fldCharType="begin"/>
      </w:r>
      <w:r>
        <w:rPr>
          <w:webHidden/>
        </w:rPr>
        <w:instrText xml:space="preserve"> PAGEREF _Toc84363184 \h </w:instrText>
      </w:r>
      <w:r>
        <w:rPr>
          <w:webHidden/>
        </w:rPr>
      </w:r>
      <w:r>
        <w:rPr>
          <w:webHidden/>
        </w:rPr>
        <w:fldChar w:fldCharType="separate"/>
      </w:r>
      <w:r>
        <w:rPr>
          <w:webHidden/>
        </w:rPr>
        <w:t>9</w:t>
      </w:r>
      <w:r>
        <w:rPr>
          <w:webHidden/>
        </w:rPr>
        <w:fldChar w:fldCharType="end"/>
      </w:r>
    </w:p>
    <w:p w14:paraId="6FE29D13" w14:textId="30401F31" w:rsidR="00A243D3" w:rsidRDefault="00A243D3">
      <w:pPr>
        <w:pStyle w:val="TOC2"/>
        <w:rPr>
          <w:rFonts w:asciiTheme="minorHAnsi" w:eastAsiaTheme="minorEastAsia" w:hAnsiTheme="minorHAnsi" w:cstheme="minorBidi"/>
          <w:color w:val="auto"/>
          <w:sz w:val="22"/>
          <w:szCs w:val="22"/>
          <w:lang w:eastAsia="en-AU"/>
        </w:rPr>
      </w:pPr>
      <w:r w:rsidRPr="00A2511A">
        <w:rPr>
          <w:kern w:val="32"/>
        </w:rPr>
        <w:t>3.6</w:t>
      </w:r>
      <w:r>
        <w:rPr>
          <w:rFonts w:asciiTheme="minorHAnsi" w:eastAsiaTheme="minorEastAsia" w:hAnsiTheme="minorHAnsi" w:cstheme="minorBidi"/>
          <w:color w:val="auto"/>
          <w:sz w:val="22"/>
          <w:szCs w:val="22"/>
          <w:lang w:eastAsia="en-AU"/>
        </w:rPr>
        <w:tab/>
      </w:r>
      <w:r>
        <w:t>Prostate cancer</w:t>
      </w:r>
      <w:r>
        <w:rPr>
          <w:webHidden/>
        </w:rPr>
        <w:tab/>
      </w:r>
      <w:r>
        <w:rPr>
          <w:webHidden/>
        </w:rPr>
        <w:fldChar w:fldCharType="begin"/>
      </w:r>
      <w:r>
        <w:rPr>
          <w:webHidden/>
        </w:rPr>
        <w:instrText xml:space="preserve"> PAGEREF _Toc84363185 \h </w:instrText>
      </w:r>
      <w:r>
        <w:rPr>
          <w:webHidden/>
        </w:rPr>
      </w:r>
      <w:r>
        <w:rPr>
          <w:webHidden/>
        </w:rPr>
        <w:fldChar w:fldCharType="separate"/>
      </w:r>
      <w:r>
        <w:rPr>
          <w:webHidden/>
        </w:rPr>
        <w:t>10</w:t>
      </w:r>
      <w:r>
        <w:rPr>
          <w:webHidden/>
        </w:rPr>
        <w:fldChar w:fldCharType="end"/>
      </w:r>
    </w:p>
    <w:p w14:paraId="63B0C3FB" w14:textId="0C3DDC09" w:rsidR="00A243D3" w:rsidRDefault="00A243D3">
      <w:pPr>
        <w:pStyle w:val="TOC2"/>
        <w:rPr>
          <w:rFonts w:asciiTheme="minorHAnsi" w:eastAsiaTheme="minorEastAsia" w:hAnsiTheme="minorHAnsi" w:cstheme="minorBidi"/>
          <w:color w:val="auto"/>
          <w:sz w:val="22"/>
          <w:szCs w:val="22"/>
          <w:lang w:eastAsia="en-AU"/>
        </w:rPr>
      </w:pPr>
      <w:r w:rsidRPr="00A2511A">
        <w:rPr>
          <w:kern w:val="32"/>
        </w:rPr>
        <w:t>3.7</w:t>
      </w:r>
      <w:r>
        <w:rPr>
          <w:rFonts w:asciiTheme="minorHAnsi" w:eastAsiaTheme="minorEastAsia" w:hAnsiTheme="minorHAnsi" w:cstheme="minorBidi"/>
          <w:color w:val="auto"/>
          <w:sz w:val="22"/>
          <w:szCs w:val="22"/>
          <w:lang w:eastAsia="en-AU"/>
        </w:rPr>
        <w:tab/>
      </w:r>
      <w:r>
        <w:t>Stomach and pancreatic cancer</w:t>
      </w:r>
      <w:r>
        <w:rPr>
          <w:webHidden/>
        </w:rPr>
        <w:tab/>
      </w:r>
      <w:r>
        <w:rPr>
          <w:webHidden/>
        </w:rPr>
        <w:fldChar w:fldCharType="begin"/>
      </w:r>
      <w:r>
        <w:rPr>
          <w:webHidden/>
        </w:rPr>
        <w:instrText xml:space="preserve"> PAGEREF _Toc84363186 \h </w:instrText>
      </w:r>
      <w:r>
        <w:rPr>
          <w:webHidden/>
        </w:rPr>
      </w:r>
      <w:r>
        <w:rPr>
          <w:webHidden/>
        </w:rPr>
        <w:fldChar w:fldCharType="separate"/>
      </w:r>
      <w:r>
        <w:rPr>
          <w:webHidden/>
        </w:rPr>
        <w:t>11</w:t>
      </w:r>
      <w:r>
        <w:rPr>
          <w:webHidden/>
        </w:rPr>
        <w:fldChar w:fldCharType="end"/>
      </w:r>
    </w:p>
    <w:p w14:paraId="0F5B6B8C" w14:textId="649C00BE" w:rsidR="00A243D3" w:rsidRDefault="00A243D3">
      <w:pPr>
        <w:pStyle w:val="TOC2"/>
        <w:rPr>
          <w:rFonts w:asciiTheme="minorHAnsi" w:eastAsiaTheme="minorEastAsia" w:hAnsiTheme="minorHAnsi" w:cstheme="minorBidi"/>
          <w:color w:val="auto"/>
          <w:sz w:val="22"/>
          <w:szCs w:val="22"/>
          <w:lang w:eastAsia="en-AU"/>
        </w:rPr>
      </w:pPr>
      <w:r w:rsidRPr="00A2511A">
        <w:rPr>
          <w:kern w:val="32"/>
        </w:rPr>
        <w:t>3.8</w:t>
      </w:r>
      <w:r>
        <w:rPr>
          <w:rFonts w:asciiTheme="minorHAnsi" w:eastAsiaTheme="minorEastAsia" w:hAnsiTheme="minorHAnsi" w:cstheme="minorBidi"/>
          <w:color w:val="auto"/>
          <w:sz w:val="22"/>
          <w:szCs w:val="22"/>
          <w:lang w:eastAsia="en-AU"/>
        </w:rPr>
        <w:tab/>
      </w:r>
      <w:r>
        <w:t>Uterine cancer</w:t>
      </w:r>
      <w:r>
        <w:rPr>
          <w:webHidden/>
        </w:rPr>
        <w:tab/>
      </w:r>
      <w:r>
        <w:rPr>
          <w:webHidden/>
        </w:rPr>
        <w:fldChar w:fldCharType="begin"/>
      </w:r>
      <w:r>
        <w:rPr>
          <w:webHidden/>
        </w:rPr>
        <w:instrText xml:space="preserve"> PAGEREF _Toc84363187 \h </w:instrText>
      </w:r>
      <w:r>
        <w:rPr>
          <w:webHidden/>
        </w:rPr>
      </w:r>
      <w:r>
        <w:rPr>
          <w:webHidden/>
        </w:rPr>
        <w:fldChar w:fldCharType="separate"/>
      </w:r>
      <w:r>
        <w:rPr>
          <w:webHidden/>
        </w:rPr>
        <w:t>13</w:t>
      </w:r>
      <w:r>
        <w:rPr>
          <w:webHidden/>
        </w:rPr>
        <w:fldChar w:fldCharType="end"/>
      </w:r>
    </w:p>
    <w:p w14:paraId="41399AE6" w14:textId="669B88C8" w:rsidR="00A243D3" w:rsidRDefault="00A243D3">
      <w:pPr>
        <w:pStyle w:val="TOC1"/>
        <w:rPr>
          <w:rFonts w:asciiTheme="minorHAnsi" w:eastAsiaTheme="minorEastAsia" w:hAnsiTheme="minorHAnsi" w:cstheme="minorBidi"/>
          <w:b w:val="0"/>
          <w:bCs w:val="0"/>
          <w:color w:val="auto"/>
          <w:sz w:val="22"/>
          <w:szCs w:val="22"/>
          <w:lang w:eastAsia="en-AU"/>
        </w:rPr>
      </w:pPr>
      <w:r>
        <w:t>4</w:t>
      </w:r>
      <w:r>
        <w:rPr>
          <w:rFonts w:asciiTheme="minorHAnsi" w:eastAsiaTheme="minorEastAsia" w:hAnsiTheme="minorHAnsi" w:cstheme="minorBidi"/>
          <w:b w:val="0"/>
          <w:bCs w:val="0"/>
          <w:color w:val="auto"/>
          <w:sz w:val="22"/>
          <w:szCs w:val="22"/>
          <w:lang w:eastAsia="en-AU"/>
        </w:rPr>
        <w:tab/>
      </w:r>
      <w:r>
        <w:t>Surgical and non-surgical therapeutic procedures</w:t>
      </w:r>
      <w:r>
        <w:rPr>
          <w:webHidden/>
        </w:rPr>
        <w:tab/>
      </w:r>
      <w:r>
        <w:rPr>
          <w:webHidden/>
        </w:rPr>
        <w:fldChar w:fldCharType="begin"/>
      </w:r>
      <w:r>
        <w:rPr>
          <w:webHidden/>
        </w:rPr>
        <w:instrText xml:space="preserve"> PAGEREF _Toc84363188 \h </w:instrText>
      </w:r>
      <w:r>
        <w:rPr>
          <w:webHidden/>
        </w:rPr>
      </w:r>
      <w:r>
        <w:rPr>
          <w:webHidden/>
        </w:rPr>
        <w:fldChar w:fldCharType="separate"/>
      </w:r>
      <w:r>
        <w:rPr>
          <w:webHidden/>
        </w:rPr>
        <w:t>14</w:t>
      </w:r>
      <w:r>
        <w:rPr>
          <w:webHidden/>
        </w:rPr>
        <w:fldChar w:fldCharType="end"/>
      </w:r>
    </w:p>
    <w:p w14:paraId="59F83681" w14:textId="40E49981" w:rsidR="00A243D3" w:rsidRDefault="00A243D3">
      <w:pPr>
        <w:pStyle w:val="TOC2"/>
        <w:rPr>
          <w:rFonts w:asciiTheme="minorHAnsi" w:eastAsiaTheme="minorEastAsia" w:hAnsiTheme="minorHAnsi" w:cstheme="minorBidi"/>
          <w:color w:val="auto"/>
          <w:sz w:val="22"/>
          <w:szCs w:val="22"/>
          <w:lang w:eastAsia="en-AU"/>
        </w:rPr>
      </w:pPr>
      <w:r w:rsidRPr="00A2511A">
        <w:rPr>
          <w:kern w:val="32"/>
        </w:rPr>
        <w:t>4.1</w:t>
      </w:r>
      <w:r>
        <w:rPr>
          <w:rFonts w:asciiTheme="minorHAnsi" w:eastAsiaTheme="minorEastAsia" w:hAnsiTheme="minorHAnsi" w:cstheme="minorBidi"/>
          <w:color w:val="auto"/>
          <w:sz w:val="22"/>
          <w:szCs w:val="22"/>
          <w:lang w:eastAsia="en-AU"/>
        </w:rPr>
        <w:tab/>
      </w:r>
      <w:r>
        <w:t>Breast cancer</w:t>
      </w:r>
      <w:r>
        <w:rPr>
          <w:webHidden/>
        </w:rPr>
        <w:tab/>
      </w:r>
      <w:r>
        <w:rPr>
          <w:webHidden/>
        </w:rPr>
        <w:fldChar w:fldCharType="begin"/>
      </w:r>
      <w:r>
        <w:rPr>
          <w:webHidden/>
        </w:rPr>
        <w:instrText xml:space="preserve"> PAGEREF _Toc84363189 \h </w:instrText>
      </w:r>
      <w:r>
        <w:rPr>
          <w:webHidden/>
        </w:rPr>
      </w:r>
      <w:r>
        <w:rPr>
          <w:webHidden/>
        </w:rPr>
        <w:fldChar w:fldCharType="separate"/>
      </w:r>
      <w:r>
        <w:rPr>
          <w:webHidden/>
        </w:rPr>
        <w:t>15</w:t>
      </w:r>
      <w:r>
        <w:rPr>
          <w:webHidden/>
        </w:rPr>
        <w:fldChar w:fldCharType="end"/>
      </w:r>
    </w:p>
    <w:p w14:paraId="224FE19C" w14:textId="0A4DE722" w:rsidR="00A243D3" w:rsidRDefault="00A243D3">
      <w:pPr>
        <w:pStyle w:val="TOC2"/>
        <w:rPr>
          <w:rFonts w:asciiTheme="minorHAnsi" w:eastAsiaTheme="minorEastAsia" w:hAnsiTheme="minorHAnsi" w:cstheme="minorBidi"/>
          <w:color w:val="auto"/>
          <w:sz w:val="22"/>
          <w:szCs w:val="22"/>
          <w:lang w:eastAsia="en-AU"/>
        </w:rPr>
      </w:pPr>
      <w:r w:rsidRPr="00A2511A">
        <w:rPr>
          <w:kern w:val="32"/>
        </w:rPr>
        <w:t>4.2</w:t>
      </w:r>
      <w:r>
        <w:rPr>
          <w:rFonts w:asciiTheme="minorHAnsi" w:eastAsiaTheme="minorEastAsia" w:hAnsiTheme="minorHAnsi" w:cstheme="minorBidi"/>
          <w:color w:val="auto"/>
          <w:sz w:val="22"/>
          <w:szCs w:val="22"/>
          <w:lang w:eastAsia="en-AU"/>
        </w:rPr>
        <w:tab/>
      </w:r>
      <w:r>
        <w:t>Colorectal cancer</w:t>
      </w:r>
      <w:r>
        <w:rPr>
          <w:webHidden/>
        </w:rPr>
        <w:tab/>
      </w:r>
      <w:r>
        <w:rPr>
          <w:webHidden/>
        </w:rPr>
        <w:fldChar w:fldCharType="begin"/>
      </w:r>
      <w:r>
        <w:rPr>
          <w:webHidden/>
        </w:rPr>
        <w:instrText xml:space="preserve"> PAGEREF _Toc84363190 \h </w:instrText>
      </w:r>
      <w:r>
        <w:rPr>
          <w:webHidden/>
        </w:rPr>
      </w:r>
      <w:r>
        <w:rPr>
          <w:webHidden/>
        </w:rPr>
        <w:fldChar w:fldCharType="separate"/>
      </w:r>
      <w:r>
        <w:rPr>
          <w:webHidden/>
        </w:rPr>
        <w:t>16</w:t>
      </w:r>
      <w:r>
        <w:rPr>
          <w:webHidden/>
        </w:rPr>
        <w:fldChar w:fldCharType="end"/>
      </w:r>
    </w:p>
    <w:p w14:paraId="6D8EE2FA" w14:textId="3126BDE5" w:rsidR="00A243D3" w:rsidRDefault="00A243D3">
      <w:pPr>
        <w:pStyle w:val="TOC2"/>
        <w:rPr>
          <w:rFonts w:asciiTheme="minorHAnsi" w:eastAsiaTheme="minorEastAsia" w:hAnsiTheme="minorHAnsi" w:cstheme="minorBidi"/>
          <w:color w:val="auto"/>
          <w:sz w:val="22"/>
          <w:szCs w:val="22"/>
          <w:lang w:eastAsia="en-AU"/>
        </w:rPr>
      </w:pPr>
      <w:r w:rsidRPr="00A2511A">
        <w:rPr>
          <w:kern w:val="32"/>
        </w:rPr>
        <w:t>4.3</w:t>
      </w:r>
      <w:r>
        <w:rPr>
          <w:rFonts w:asciiTheme="minorHAnsi" w:eastAsiaTheme="minorEastAsia" w:hAnsiTheme="minorHAnsi" w:cstheme="minorBidi"/>
          <w:color w:val="auto"/>
          <w:sz w:val="22"/>
          <w:szCs w:val="22"/>
          <w:lang w:eastAsia="en-AU"/>
        </w:rPr>
        <w:tab/>
      </w:r>
      <w:r>
        <w:t>Kidney cancer</w:t>
      </w:r>
      <w:r>
        <w:rPr>
          <w:webHidden/>
        </w:rPr>
        <w:tab/>
      </w:r>
      <w:r>
        <w:rPr>
          <w:webHidden/>
        </w:rPr>
        <w:fldChar w:fldCharType="begin"/>
      </w:r>
      <w:r>
        <w:rPr>
          <w:webHidden/>
        </w:rPr>
        <w:instrText xml:space="preserve"> PAGEREF _Toc84363191 \h </w:instrText>
      </w:r>
      <w:r>
        <w:rPr>
          <w:webHidden/>
        </w:rPr>
      </w:r>
      <w:r>
        <w:rPr>
          <w:webHidden/>
        </w:rPr>
        <w:fldChar w:fldCharType="separate"/>
      </w:r>
      <w:r>
        <w:rPr>
          <w:webHidden/>
        </w:rPr>
        <w:t>17</w:t>
      </w:r>
      <w:r>
        <w:rPr>
          <w:webHidden/>
        </w:rPr>
        <w:fldChar w:fldCharType="end"/>
      </w:r>
    </w:p>
    <w:p w14:paraId="1DA691B3" w14:textId="6812ACE8" w:rsidR="00A243D3" w:rsidRDefault="00A243D3">
      <w:pPr>
        <w:pStyle w:val="TOC2"/>
        <w:rPr>
          <w:rFonts w:asciiTheme="minorHAnsi" w:eastAsiaTheme="minorEastAsia" w:hAnsiTheme="minorHAnsi" w:cstheme="minorBidi"/>
          <w:color w:val="auto"/>
          <w:sz w:val="22"/>
          <w:szCs w:val="22"/>
          <w:lang w:eastAsia="en-AU"/>
        </w:rPr>
      </w:pPr>
      <w:r w:rsidRPr="00A2511A">
        <w:rPr>
          <w:kern w:val="32"/>
        </w:rPr>
        <w:t>4.4</w:t>
      </w:r>
      <w:r>
        <w:rPr>
          <w:rFonts w:asciiTheme="minorHAnsi" w:eastAsiaTheme="minorEastAsia" w:hAnsiTheme="minorHAnsi" w:cstheme="minorBidi"/>
          <w:color w:val="auto"/>
          <w:sz w:val="22"/>
          <w:szCs w:val="22"/>
          <w:lang w:eastAsia="en-AU"/>
        </w:rPr>
        <w:tab/>
      </w:r>
      <w:r>
        <w:t>Liver cancer</w:t>
      </w:r>
      <w:r>
        <w:rPr>
          <w:webHidden/>
        </w:rPr>
        <w:tab/>
      </w:r>
      <w:r>
        <w:rPr>
          <w:webHidden/>
        </w:rPr>
        <w:fldChar w:fldCharType="begin"/>
      </w:r>
      <w:r>
        <w:rPr>
          <w:webHidden/>
        </w:rPr>
        <w:instrText xml:space="preserve"> PAGEREF _Toc84363192 \h </w:instrText>
      </w:r>
      <w:r>
        <w:rPr>
          <w:webHidden/>
        </w:rPr>
      </w:r>
      <w:r>
        <w:rPr>
          <w:webHidden/>
        </w:rPr>
        <w:fldChar w:fldCharType="separate"/>
      </w:r>
      <w:r>
        <w:rPr>
          <w:webHidden/>
        </w:rPr>
        <w:t>18</w:t>
      </w:r>
      <w:r>
        <w:rPr>
          <w:webHidden/>
        </w:rPr>
        <w:fldChar w:fldCharType="end"/>
      </w:r>
    </w:p>
    <w:p w14:paraId="1A3043B1" w14:textId="6FC9AA01" w:rsidR="00A243D3" w:rsidRDefault="00A243D3">
      <w:pPr>
        <w:pStyle w:val="TOC2"/>
        <w:rPr>
          <w:rFonts w:asciiTheme="minorHAnsi" w:eastAsiaTheme="minorEastAsia" w:hAnsiTheme="minorHAnsi" w:cstheme="minorBidi"/>
          <w:color w:val="auto"/>
          <w:sz w:val="22"/>
          <w:szCs w:val="22"/>
          <w:lang w:eastAsia="en-AU"/>
        </w:rPr>
      </w:pPr>
      <w:r w:rsidRPr="00A2511A">
        <w:rPr>
          <w:kern w:val="32"/>
        </w:rPr>
        <w:t>4.5</w:t>
      </w:r>
      <w:r>
        <w:rPr>
          <w:rFonts w:asciiTheme="minorHAnsi" w:eastAsiaTheme="minorEastAsia" w:hAnsiTheme="minorHAnsi" w:cstheme="minorBidi"/>
          <w:color w:val="auto"/>
          <w:sz w:val="22"/>
          <w:szCs w:val="22"/>
          <w:lang w:eastAsia="en-AU"/>
        </w:rPr>
        <w:tab/>
      </w:r>
      <w:r>
        <w:t>Lung cancer</w:t>
      </w:r>
      <w:r>
        <w:rPr>
          <w:webHidden/>
        </w:rPr>
        <w:tab/>
      </w:r>
      <w:r>
        <w:rPr>
          <w:webHidden/>
        </w:rPr>
        <w:fldChar w:fldCharType="begin"/>
      </w:r>
      <w:r>
        <w:rPr>
          <w:webHidden/>
        </w:rPr>
        <w:instrText xml:space="preserve"> PAGEREF _Toc84363193 \h </w:instrText>
      </w:r>
      <w:r>
        <w:rPr>
          <w:webHidden/>
        </w:rPr>
      </w:r>
      <w:r>
        <w:rPr>
          <w:webHidden/>
        </w:rPr>
        <w:fldChar w:fldCharType="separate"/>
      </w:r>
      <w:r>
        <w:rPr>
          <w:webHidden/>
        </w:rPr>
        <w:t>19</w:t>
      </w:r>
      <w:r>
        <w:rPr>
          <w:webHidden/>
        </w:rPr>
        <w:fldChar w:fldCharType="end"/>
      </w:r>
    </w:p>
    <w:p w14:paraId="48A1919A" w14:textId="014A1550" w:rsidR="00A243D3" w:rsidRDefault="00A243D3">
      <w:pPr>
        <w:pStyle w:val="TOC2"/>
        <w:rPr>
          <w:rFonts w:asciiTheme="minorHAnsi" w:eastAsiaTheme="minorEastAsia" w:hAnsiTheme="minorHAnsi" w:cstheme="minorBidi"/>
          <w:color w:val="auto"/>
          <w:sz w:val="22"/>
          <w:szCs w:val="22"/>
          <w:lang w:eastAsia="en-AU"/>
        </w:rPr>
      </w:pPr>
      <w:r w:rsidRPr="00A2511A">
        <w:rPr>
          <w:kern w:val="32"/>
        </w:rPr>
        <w:t>4.6</w:t>
      </w:r>
      <w:r>
        <w:rPr>
          <w:rFonts w:asciiTheme="minorHAnsi" w:eastAsiaTheme="minorEastAsia" w:hAnsiTheme="minorHAnsi" w:cstheme="minorBidi"/>
          <w:color w:val="auto"/>
          <w:sz w:val="22"/>
          <w:szCs w:val="22"/>
          <w:lang w:eastAsia="en-AU"/>
        </w:rPr>
        <w:tab/>
      </w:r>
      <w:r>
        <w:t>Melanoma of the skin</w:t>
      </w:r>
      <w:r>
        <w:rPr>
          <w:webHidden/>
        </w:rPr>
        <w:tab/>
      </w:r>
      <w:r>
        <w:rPr>
          <w:webHidden/>
        </w:rPr>
        <w:fldChar w:fldCharType="begin"/>
      </w:r>
      <w:r>
        <w:rPr>
          <w:webHidden/>
        </w:rPr>
        <w:instrText xml:space="preserve"> PAGEREF _Toc84363194 \h </w:instrText>
      </w:r>
      <w:r>
        <w:rPr>
          <w:webHidden/>
        </w:rPr>
      </w:r>
      <w:r>
        <w:rPr>
          <w:webHidden/>
        </w:rPr>
        <w:fldChar w:fldCharType="separate"/>
      </w:r>
      <w:r>
        <w:rPr>
          <w:webHidden/>
        </w:rPr>
        <w:t>20</w:t>
      </w:r>
      <w:r>
        <w:rPr>
          <w:webHidden/>
        </w:rPr>
        <w:fldChar w:fldCharType="end"/>
      </w:r>
    </w:p>
    <w:p w14:paraId="795B928A" w14:textId="544DAC00" w:rsidR="00A243D3" w:rsidRDefault="00A243D3">
      <w:pPr>
        <w:pStyle w:val="TOC2"/>
        <w:rPr>
          <w:rFonts w:asciiTheme="minorHAnsi" w:eastAsiaTheme="minorEastAsia" w:hAnsiTheme="minorHAnsi" w:cstheme="minorBidi"/>
          <w:color w:val="auto"/>
          <w:sz w:val="22"/>
          <w:szCs w:val="22"/>
          <w:lang w:eastAsia="en-AU"/>
        </w:rPr>
      </w:pPr>
      <w:r w:rsidRPr="00A2511A">
        <w:rPr>
          <w:kern w:val="32"/>
        </w:rPr>
        <w:t>4.7</w:t>
      </w:r>
      <w:r>
        <w:rPr>
          <w:rFonts w:asciiTheme="minorHAnsi" w:eastAsiaTheme="minorEastAsia" w:hAnsiTheme="minorHAnsi" w:cstheme="minorBidi"/>
          <w:color w:val="auto"/>
          <w:sz w:val="22"/>
          <w:szCs w:val="22"/>
          <w:lang w:eastAsia="en-AU"/>
        </w:rPr>
        <w:tab/>
      </w:r>
      <w:r>
        <w:t>Prostate cancer</w:t>
      </w:r>
      <w:r>
        <w:rPr>
          <w:webHidden/>
        </w:rPr>
        <w:tab/>
      </w:r>
      <w:r>
        <w:rPr>
          <w:webHidden/>
        </w:rPr>
        <w:fldChar w:fldCharType="begin"/>
      </w:r>
      <w:r>
        <w:rPr>
          <w:webHidden/>
        </w:rPr>
        <w:instrText xml:space="preserve"> PAGEREF _Toc84363195 \h </w:instrText>
      </w:r>
      <w:r>
        <w:rPr>
          <w:webHidden/>
        </w:rPr>
      </w:r>
      <w:r>
        <w:rPr>
          <w:webHidden/>
        </w:rPr>
        <w:fldChar w:fldCharType="separate"/>
      </w:r>
      <w:r>
        <w:rPr>
          <w:webHidden/>
        </w:rPr>
        <w:t>21</w:t>
      </w:r>
      <w:r>
        <w:rPr>
          <w:webHidden/>
        </w:rPr>
        <w:fldChar w:fldCharType="end"/>
      </w:r>
    </w:p>
    <w:p w14:paraId="4911B0EB" w14:textId="6DF27A7E" w:rsidR="00A243D3" w:rsidRDefault="00A243D3">
      <w:pPr>
        <w:pStyle w:val="TOC2"/>
        <w:rPr>
          <w:rFonts w:asciiTheme="minorHAnsi" w:eastAsiaTheme="minorEastAsia" w:hAnsiTheme="minorHAnsi" w:cstheme="minorBidi"/>
          <w:color w:val="auto"/>
          <w:sz w:val="22"/>
          <w:szCs w:val="22"/>
          <w:lang w:eastAsia="en-AU"/>
        </w:rPr>
      </w:pPr>
      <w:r w:rsidRPr="00A2511A">
        <w:rPr>
          <w:kern w:val="32"/>
        </w:rPr>
        <w:t>4.8</w:t>
      </w:r>
      <w:r>
        <w:rPr>
          <w:rFonts w:asciiTheme="minorHAnsi" w:eastAsiaTheme="minorEastAsia" w:hAnsiTheme="minorHAnsi" w:cstheme="minorBidi"/>
          <w:color w:val="auto"/>
          <w:sz w:val="22"/>
          <w:szCs w:val="22"/>
          <w:lang w:eastAsia="en-AU"/>
        </w:rPr>
        <w:tab/>
      </w:r>
      <w:r>
        <w:t>Pancreatic cancer</w:t>
      </w:r>
      <w:r>
        <w:rPr>
          <w:webHidden/>
        </w:rPr>
        <w:tab/>
      </w:r>
      <w:r>
        <w:rPr>
          <w:webHidden/>
        </w:rPr>
        <w:fldChar w:fldCharType="begin"/>
      </w:r>
      <w:r>
        <w:rPr>
          <w:webHidden/>
        </w:rPr>
        <w:instrText xml:space="preserve"> PAGEREF _Toc84363196 \h </w:instrText>
      </w:r>
      <w:r>
        <w:rPr>
          <w:webHidden/>
        </w:rPr>
      </w:r>
      <w:r>
        <w:rPr>
          <w:webHidden/>
        </w:rPr>
        <w:fldChar w:fldCharType="separate"/>
      </w:r>
      <w:r>
        <w:rPr>
          <w:webHidden/>
        </w:rPr>
        <w:t>24</w:t>
      </w:r>
      <w:r>
        <w:rPr>
          <w:webHidden/>
        </w:rPr>
        <w:fldChar w:fldCharType="end"/>
      </w:r>
    </w:p>
    <w:p w14:paraId="46BCF9B8" w14:textId="411FD12A" w:rsidR="00A243D3" w:rsidRDefault="00A243D3">
      <w:pPr>
        <w:pStyle w:val="TOC2"/>
        <w:rPr>
          <w:rFonts w:asciiTheme="minorHAnsi" w:eastAsiaTheme="minorEastAsia" w:hAnsiTheme="minorHAnsi" w:cstheme="minorBidi"/>
          <w:color w:val="auto"/>
          <w:sz w:val="22"/>
          <w:szCs w:val="22"/>
          <w:lang w:eastAsia="en-AU"/>
        </w:rPr>
      </w:pPr>
      <w:r w:rsidRPr="00A2511A">
        <w:rPr>
          <w:kern w:val="32"/>
        </w:rPr>
        <w:t>4.9</w:t>
      </w:r>
      <w:r>
        <w:rPr>
          <w:rFonts w:asciiTheme="minorHAnsi" w:eastAsiaTheme="minorEastAsia" w:hAnsiTheme="minorHAnsi" w:cstheme="minorBidi"/>
          <w:color w:val="auto"/>
          <w:sz w:val="22"/>
          <w:szCs w:val="22"/>
          <w:lang w:eastAsia="en-AU"/>
        </w:rPr>
        <w:tab/>
      </w:r>
      <w:r>
        <w:t>Stomach cancer</w:t>
      </w:r>
      <w:r>
        <w:rPr>
          <w:webHidden/>
        </w:rPr>
        <w:tab/>
      </w:r>
      <w:r>
        <w:rPr>
          <w:webHidden/>
        </w:rPr>
        <w:fldChar w:fldCharType="begin"/>
      </w:r>
      <w:r>
        <w:rPr>
          <w:webHidden/>
        </w:rPr>
        <w:instrText xml:space="preserve"> PAGEREF _Toc84363197 \h </w:instrText>
      </w:r>
      <w:r>
        <w:rPr>
          <w:webHidden/>
        </w:rPr>
      </w:r>
      <w:r>
        <w:rPr>
          <w:webHidden/>
        </w:rPr>
        <w:fldChar w:fldCharType="separate"/>
      </w:r>
      <w:r>
        <w:rPr>
          <w:webHidden/>
        </w:rPr>
        <w:t>25</w:t>
      </w:r>
      <w:r>
        <w:rPr>
          <w:webHidden/>
        </w:rPr>
        <w:fldChar w:fldCharType="end"/>
      </w:r>
    </w:p>
    <w:p w14:paraId="5AC4D338" w14:textId="09C1A98A" w:rsidR="00A243D3" w:rsidRDefault="00A243D3">
      <w:pPr>
        <w:pStyle w:val="TOC2"/>
        <w:rPr>
          <w:rFonts w:asciiTheme="minorHAnsi" w:eastAsiaTheme="minorEastAsia" w:hAnsiTheme="minorHAnsi" w:cstheme="minorBidi"/>
          <w:color w:val="auto"/>
          <w:sz w:val="22"/>
          <w:szCs w:val="22"/>
          <w:lang w:eastAsia="en-AU"/>
        </w:rPr>
      </w:pPr>
      <w:r w:rsidRPr="00A2511A">
        <w:rPr>
          <w:kern w:val="32"/>
        </w:rPr>
        <w:t>4.10</w:t>
      </w:r>
      <w:r>
        <w:rPr>
          <w:rFonts w:asciiTheme="minorHAnsi" w:eastAsiaTheme="minorEastAsia" w:hAnsiTheme="minorHAnsi" w:cstheme="minorBidi"/>
          <w:color w:val="auto"/>
          <w:sz w:val="22"/>
          <w:szCs w:val="22"/>
          <w:lang w:eastAsia="en-AU"/>
        </w:rPr>
        <w:tab/>
      </w:r>
      <w:r>
        <w:t>Gynaecological cancers</w:t>
      </w:r>
      <w:r>
        <w:rPr>
          <w:webHidden/>
        </w:rPr>
        <w:tab/>
      </w:r>
      <w:r>
        <w:rPr>
          <w:webHidden/>
        </w:rPr>
        <w:fldChar w:fldCharType="begin"/>
      </w:r>
      <w:r>
        <w:rPr>
          <w:webHidden/>
        </w:rPr>
        <w:instrText xml:space="preserve"> PAGEREF _Toc84363198 \h </w:instrText>
      </w:r>
      <w:r>
        <w:rPr>
          <w:webHidden/>
        </w:rPr>
      </w:r>
      <w:r>
        <w:rPr>
          <w:webHidden/>
        </w:rPr>
        <w:fldChar w:fldCharType="separate"/>
      </w:r>
      <w:r>
        <w:rPr>
          <w:webHidden/>
        </w:rPr>
        <w:t>26</w:t>
      </w:r>
      <w:r>
        <w:rPr>
          <w:webHidden/>
        </w:rPr>
        <w:fldChar w:fldCharType="end"/>
      </w:r>
    </w:p>
    <w:p w14:paraId="4BE80135" w14:textId="6F6DC676" w:rsidR="00A243D3" w:rsidRDefault="00A243D3">
      <w:pPr>
        <w:pStyle w:val="TOC1"/>
        <w:rPr>
          <w:rFonts w:asciiTheme="minorHAnsi" w:eastAsiaTheme="minorEastAsia" w:hAnsiTheme="minorHAnsi" w:cstheme="minorBidi"/>
          <w:b w:val="0"/>
          <w:bCs w:val="0"/>
          <w:color w:val="auto"/>
          <w:sz w:val="22"/>
          <w:szCs w:val="22"/>
          <w:lang w:eastAsia="en-AU"/>
        </w:rPr>
      </w:pPr>
      <w:r>
        <w:t>Appendix A</w:t>
      </w:r>
      <w:r>
        <w:rPr>
          <w:webHidden/>
        </w:rPr>
        <w:tab/>
      </w:r>
      <w:r>
        <w:rPr>
          <w:webHidden/>
        </w:rPr>
        <w:fldChar w:fldCharType="begin"/>
      </w:r>
      <w:r>
        <w:rPr>
          <w:webHidden/>
        </w:rPr>
        <w:instrText xml:space="preserve"> PAGEREF _Toc84363199 \h </w:instrText>
      </w:r>
      <w:r>
        <w:rPr>
          <w:webHidden/>
        </w:rPr>
      </w:r>
      <w:r>
        <w:rPr>
          <w:webHidden/>
        </w:rPr>
        <w:fldChar w:fldCharType="separate"/>
      </w:r>
      <w:r>
        <w:rPr>
          <w:webHidden/>
        </w:rPr>
        <w:t>28</w:t>
      </w:r>
      <w:r>
        <w:rPr>
          <w:webHidden/>
        </w:rPr>
        <w:fldChar w:fldCharType="end"/>
      </w:r>
    </w:p>
    <w:p w14:paraId="1E831D61" w14:textId="2B3F4661" w:rsidR="00A243D3" w:rsidRDefault="00A243D3">
      <w:pPr>
        <w:pStyle w:val="TOC1"/>
        <w:rPr>
          <w:rFonts w:asciiTheme="minorHAnsi" w:eastAsiaTheme="minorEastAsia" w:hAnsiTheme="minorHAnsi" w:cstheme="minorBidi"/>
          <w:b w:val="0"/>
          <w:bCs w:val="0"/>
          <w:color w:val="auto"/>
          <w:sz w:val="22"/>
          <w:szCs w:val="22"/>
          <w:lang w:eastAsia="en-AU"/>
        </w:rPr>
      </w:pPr>
      <w:r>
        <w:t>Appendix B</w:t>
      </w:r>
      <w:r>
        <w:rPr>
          <w:webHidden/>
        </w:rPr>
        <w:tab/>
      </w:r>
      <w:r>
        <w:rPr>
          <w:webHidden/>
        </w:rPr>
        <w:fldChar w:fldCharType="begin"/>
      </w:r>
      <w:r>
        <w:rPr>
          <w:webHidden/>
        </w:rPr>
        <w:instrText xml:space="preserve"> PAGEREF _Toc84363200 \h </w:instrText>
      </w:r>
      <w:r>
        <w:rPr>
          <w:webHidden/>
        </w:rPr>
      </w:r>
      <w:r>
        <w:rPr>
          <w:webHidden/>
        </w:rPr>
        <w:fldChar w:fldCharType="separate"/>
      </w:r>
      <w:r>
        <w:rPr>
          <w:webHidden/>
        </w:rPr>
        <w:t>30</w:t>
      </w:r>
      <w:r>
        <w:rPr>
          <w:webHidden/>
        </w:rPr>
        <w:fldChar w:fldCharType="end"/>
      </w:r>
    </w:p>
    <w:p w14:paraId="270AE4E3" w14:textId="1592CB0C" w:rsidR="00A243D3" w:rsidRDefault="00A243D3">
      <w:pPr>
        <w:pStyle w:val="TOC1"/>
        <w:rPr>
          <w:rFonts w:asciiTheme="minorHAnsi" w:eastAsiaTheme="minorEastAsia" w:hAnsiTheme="minorHAnsi" w:cstheme="minorBidi"/>
          <w:b w:val="0"/>
          <w:bCs w:val="0"/>
          <w:color w:val="auto"/>
          <w:sz w:val="22"/>
          <w:szCs w:val="22"/>
          <w:lang w:eastAsia="en-AU"/>
        </w:rPr>
      </w:pPr>
      <w:r>
        <w:t>References</w:t>
      </w:r>
      <w:r>
        <w:rPr>
          <w:webHidden/>
        </w:rPr>
        <w:tab/>
      </w:r>
      <w:r>
        <w:rPr>
          <w:webHidden/>
        </w:rPr>
        <w:fldChar w:fldCharType="begin"/>
      </w:r>
      <w:r>
        <w:rPr>
          <w:webHidden/>
        </w:rPr>
        <w:instrText xml:space="preserve"> PAGEREF _Toc84363201 \h </w:instrText>
      </w:r>
      <w:r>
        <w:rPr>
          <w:webHidden/>
        </w:rPr>
      </w:r>
      <w:r>
        <w:rPr>
          <w:webHidden/>
        </w:rPr>
        <w:fldChar w:fldCharType="separate"/>
      </w:r>
      <w:r>
        <w:rPr>
          <w:webHidden/>
        </w:rPr>
        <w:t>35</w:t>
      </w:r>
      <w:r>
        <w:rPr>
          <w:webHidden/>
        </w:rPr>
        <w:fldChar w:fldCharType="end"/>
      </w:r>
    </w:p>
    <w:p w14:paraId="735DB877" w14:textId="1120ECA2" w:rsidR="00735C15" w:rsidRPr="00735C15" w:rsidRDefault="000D590C" w:rsidP="00A243D3">
      <w:pPr>
        <w:tabs>
          <w:tab w:val="right" w:leader="dot" w:pos="8647"/>
        </w:tabs>
      </w:pPr>
      <w:r>
        <w:fldChar w:fldCharType="end"/>
      </w:r>
    </w:p>
    <w:p w14:paraId="6D7AB107" w14:textId="77777777" w:rsidR="00735C15" w:rsidRDefault="00735C15" w:rsidP="00735C15"/>
    <w:p w14:paraId="16E646DE" w14:textId="77777777" w:rsidR="00D16A9B" w:rsidRPr="00735C15" w:rsidRDefault="00735C15" w:rsidP="00735C15">
      <w:pPr>
        <w:tabs>
          <w:tab w:val="left" w:pos="6225"/>
        </w:tabs>
      </w:pPr>
      <w:r>
        <w:tab/>
      </w:r>
    </w:p>
    <w:p w14:paraId="1B3966BA" w14:textId="77777777" w:rsidR="00D16A9B" w:rsidRDefault="00A036E1">
      <w:pPr>
        <w:pStyle w:val="Heading2a"/>
        <w:pageBreakBefore/>
      </w:pPr>
      <w:r>
        <w:lastRenderedPageBreak/>
        <w:t>T</w:t>
      </w:r>
      <w:r w:rsidRPr="00871674">
        <w:rPr>
          <w:iCs w:val="0"/>
          <w:kern w:val="32"/>
          <w:szCs w:val="32"/>
        </w:rPr>
        <w:t>ables</w:t>
      </w:r>
      <w:r>
        <w:t xml:space="preserve"> </w:t>
      </w:r>
    </w:p>
    <w:p w14:paraId="7890DB6B" w14:textId="15161818" w:rsidR="00780305" w:rsidRDefault="000D590C">
      <w:pPr>
        <w:pStyle w:val="TableofFigures"/>
        <w:rPr>
          <w:rFonts w:asciiTheme="minorHAnsi" w:eastAsiaTheme="minorEastAsia" w:hAnsiTheme="minorHAnsi" w:cstheme="minorBidi"/>
          <w:color w:val="auto"/>
          <w:sz w:val="22"/>
          <w:lang w:eastAsia="en-AU"/>
        </w:rPr>
      </w:pPr>
      <w:r>
        <w:fldChar w:fldCharType="begin"/>
      </w:r>
      <w:r w:rsidR="00A036E1">
        <w:instrText xml:space="preserve"> TOC \z \t "TableName" \c </w:instrText>
      </w:r>
      <w:r>
        <w:fldChar w:fldCharType="separate"/>
      </w:r>
      <w:r w:rsidR="00780305">
        <w:t>Table 1</w:t>
      </w:r>
      <w:r w:rsidR="00780305">
        <w:rPr>
          <w:rFonts w:asciiTheme="minorHAnsi" w:eastAsiaTheme="minorEastAsia" w:hAnsiTheme="minorHAnsi" w:cstheme="minorBidi"/>
          <w:color w:val="auto"/>
          <w:sz w:val="22"/>
          <w:lang w:eastAsia="en-AU"/>
        </w:rPr>
        <w:tab/>
      </w:r>
      <w:r w:rsidR="00780305">
        <w:t>Annual observed and expected services for cancer-related diagnostic procedures in 2020, by cancer type</w:t>
      </w:r>
      <w:r w:rsidR="00780305">
        <w:rPr>
          <w:webHidden/>
        </w:rPr>
        <w:tab/>
      </w:r>
      <w:r w:rsidR="00780305">
        <w:rPr>
          <w:webHidden/>
        </w:rPr>
        <w:fldChar w:fldCharType="begin"/>
      </w:r>
      <w:r w:rsidR="00780305">
        <w:rPr>
          <w:webHidden/>
        </w:rPr>
        <w:instrText xml:space="preserve"> PAGEREF _Toc83720970 \h </w:instrText>
      </w:r>
      <w:r w:rsidR="00780305">
        <w:rPr>
          <w:webHidden/>
        </w:rPr>
      </w:r>
      <w:r w:rsidR="00780305">
        <w:rPr>
          <w:webHidden/>
        </w:rPr>
        <w:fldChar w:fldCharType="separate"/>
      </w:r>
      <w:r w:rsidR="00780305">
        <w:rPr>
          <w:webHidden/>
        </w:rPr>
        <w:t>4</w:t>
      </w:r>
      <w:r w:rsidR="00780305">
        <w:rPr>
          <w:webHidden/>
        </w:rPr>
        <w:fldChar w:fldCharType="end"/>
      </w:r>
    </w:p>
    <w:p w14:paraId="683EA21D" w14:textId="7E55912C" w:rsidR="00780305" w:rsidRDefault="00780305">
      <w:pPr>
        <w:pStyle w:val="TableofFigures"/>
        <w:rPr>
          <w:rFonts w:asciiTheme="minorHAnsi" w:eastAsiaTheme="minorEastAsia" w:hAnsiTheme="minorHAnsi" w:cstheme="minorBidi"/>
          <w:color w:val="auto"/>
          <w:sz w:val="22"/>
          <w:lang w:eastAsia="en-AU"/>
        </w:rPr>
      </w:pPr>
      <w:r>
        <w:t>Table 2</w:t>
      </w:r>
      <w:r>
        <w:rPr>
          <w:rFonts w:asciiTheme="minorHAnsi" w:eastAsiaTheme="minorEastAsia" w:hAnsiTheme="minorHAnsi" w:cstheme="minorBidi"/>
          <w:color w:val="auto"/>
          <w:sz w:val="22"/>
          <w:lang w:eastAsia="en-AU"/>
        </w:rPr>
        <w:tab/>
      </w:r>
      <w:r>
        <w:t>Annual observed and expected services for cancer-related therapeutic procedures in 2020, by cancer type</w:t>
      </w:r>
      <w:r>
        <w:rPr>
          <w:webHidden/>
        </w:rPr>
        <w:tab/>
      </w:r>
      <w:r>
        <w:rPr>
          <w:webHidden/>
        </w:rPr>
        <w:fldChar w:fldCharType="begin"/>
      </w:r>
      <w:r>
        <w:rPr>
          <w:webHidden/>
        </w:rPr>
        <w:instrText xml:space="preserve"> PAGEREF _Toc83720971 \h </w:instrText>
      </w:r>
      <w:r>
        <w:rPr>
          <w:webHidden/>
        </w:rPr>
      </w:r>
      <w:r>
        <w:rPr>
          <w:webHidden/>
        </w:rPr>
        <w:fldChar w:fldCharType="separate"/>
      </w:r>
      <w:r>
        <w:rPr>
          <w:webHidden/>
        </w:rPr>
        <w:t>14</w:t>
      </w:r>
      <w:r>
        <w:rPr>
          <w:webHidden/>
        </w:rPr>
        <w:fldChar w:fldCharType="end"/>
      </w:r>
    </w:p>
    <w:p w14:paraId="45DE1152" w14:textId="7115A569" w:rsidR="00780305" w:rsidRDefault="00780305">
      <w:pPr>
        <w:pStyle w:val="TableofFigures"/>
        <w:rPr>
          <w:rFonts w:asciiTheme="minorHAnsi" w:eastAsiaTheme="minorEastAsia" w:hAnsiTheme="minorHAnsi" w:cstheme="minorBidi"/>
          <w:color w:val="auto"/>
          <w:sz w:val="22"/>
          <w:lang w:eastAsia="en-AU"/>
        </w:rPr>
      </w:pPr>
      <w:r>
        <w:t>Table A1</w:t>
      </w:r>
      <w:r>
        <w:rPr>
          <w:rFonts w:asciiTheme="minorHAnsi" w:eastAsiaTheme="minorEastAsia" w:hAnsiTheme="minorHAnsi" w:cstheme="minorBidi"/>
          <w:color w:val="auto"/>
          <w:sz w:val="22"/>
          <w:lang w:eastAsia="en-AU"/>
        </w:rPr>
        <w:tab/>
      </w:r>
      <w:r>
        <w:t>MBS item codes for cancer-related diagnostic procedures</w:t>
      </w:r>
      <w:r>
        <w:rPr>
          <w:webHidden/>
        </w:rPr>
        <w:tab/>
      </w:r>
      <w:r>
        <w:rPr>
          <w:webHidden/>
        </w:rPr>
        <w:fldChar w:fldCharType="begin"/>
      </w:r>
      <w:r>
        <w:rPr>
          <w:webHidden/>
        </w:rPr>
        <w:instrText xml:space="preserve"> PAGEREF _Toc83720972 \h </w:instrText>
      </w:r>
      <w:r>
        <w:rPr>
          <w:webHidden/>
        </w:rPr>
      </w:r>
      <w:r>
        <w:rPr>
          <w:webHidden/>
        </w:rPr>
        <w:fldChar w:fldCharType="separate"/>
      </w:r>
      <w:r>
        <w:rPr>
          <w:webHidden/>
        </w:rPr>
        <w:t>28</w:t>
      </w:r>
      <w:r>
        <w:rPr>
          <w:webHidden/>
        </w:rPr>
        <w:fldChar w:fldCharType="end"/>
      </w:r>
    </w:p>
    <w:p w14:paraId="734B4802" w14:textId="68EC8E24" w:rsidR="00780305" w:rsidRDefault="00780305">
      <w:pPr>
        <w:pStyle w:val="TableofFigures"/>
        <w:rPr>
          <w:rFonts w:asciiTheme="minorHAnsi" w:eastAsiaTheme="minorEastAsia" w:hAnsiTheme="minorHAnsi" w:cstheme="minorBidi"/>
          <w:color w:val="auto"/>
          <w:sz w:val="22"/>
          <w:lang w:eastAsia="en-AU"/>
        </w:rPr>
      </w:pPr>
      <w:r>
        <w:t>Table A2</w:t>
      </w:r>
      <w:r>
        <w:rPr>
          <w:rFonts w:asciiTheme="minorHAnsi" w:eastAsiaTheme="minorEastAsia" w:hAnsiTheme="minorHAnsi" w:cstheme="minorBidi"/>
          <w:color w:val="auto"/>
          <w:sz w:val="22"/>
          <w:lang w:eastAsia="en-AU"/>
        </w:rPr>
        <w:tab/>
      </w:r>
      <w:r>
        <w:t>MBS item codes for cancer-related surgical and non-surgical therapeutic procedures</w:t>
      </w:r>
      <w:r>
        <w:rPr>
          <w:webHidden/>
        </w:rPr>
        <w:tab/>
      </w:r>
      <w:r>
        <w:rPr>
          <w:webHidden/>
        </w:rPr>
        <w:fldChar w:fldCharType="begin"/>
      </w:r>
      <w:r>
        <w:rPr>
          <w:webHidden/>
        </w:rPr>
        <w:instrText xml:space="preserve"> PAGEREF _Toc83720973 \h </w:instrText>
      </w:r>
      <w:r>
        <w:rPr>
          <w:webHidden/>
        </w:rPr>
      </w:r>
      <w:r>
        <w:rPr>
          <w:webHidden/>
        </w:rPr>
        <w:fldChar w:fldCharType="separate"/>
      </w:r>
      <w:r>
        <w:rPr>
          <w:webHidden/>
        </w:rPr>
        <w:t>28</w:t>
      </w:r>
      <w:r>
        <w:rPr>
          <w:webHidden/>
        </w:rPr>
        <w:fldChar w:fldCharType="end"/>
      </w:r>
    </w:p>
    <w:p w14:paraId="2A167109" w14:textId="33B91308" w:rsidR="00780305" w:rsidRDefault="00780305">
      <w:pPr>
        <w:pStyle w:val="TableofFigures"/>
        <w:rPr>
          <w:rFonts w:asciiTheme="minorHAnsi" w:eastAsiaTheme="minorEastAsia" w:hAnsiTheme="minorHAnsi" w:cstheme="minorBidi"/>
          <w:color w:val="auto"/>
          <w:sz w:val="22"/>
          <w:lang w:eastAsia="en-AU"/>
        </w:rPr>
      </w:pPr>
      <w:r>
        <w:t>Table B1</w:t>
      </w:r>
      <w:r>
        <w:rPr>
          <w:rFonts w:asciiTheme="minorHAnsi" w:eastAsiaTheme="minorEastAsia" w:hAnsiTheme="minorHAnsi" w:cstheme="minorBidi"/>
          <w:color w:val="auto"/>
          <w:sz w:val="22"/>
          <w:lang w:eastAsia="en-AU"/>
        </w:rPr>
        <w:tab/>
      </w:r>
      <w:r>
        <w:t>Annual observed and expected services for cancer-related diagnostic procedures in 2020, by jurisdiction</w:t>
      </w:r>
      <w:r>
        <w:rPr>
          <w:webHidden/>
        </w:rPr>
        <w:tab/>
      </w:r>
      <w:r>
        <w:rPr>
          <w:webHidden/>
        </w:rPr>
        <w:fldChar w:fldCharType="begin"/>
      </w:r>
      <w:r>
        <w:rPr>
          <w:webHidden/>
        </w:rPr>
        <w:instrText xml:space="preserve"> PAGEREF _Toc83720974 \h </w:instrText>
      </w:r>
      <w:r>
        <w:rPr>
          <w:webHidden/>
        </w:rPr>
      </w:r>
      <w:r>
        <w:rPr>
          <w:webHidden/>
        </w:rPr>
        <w:fldChar w:fldCharType="separate"/>
      </w:r>
      <w:r>
        <w:rPr>
          <w:webHidden/>
        </w:rPr>
        <w:t>30</w:t>
      </w:r>
      <w:r>
        <w:rPr>
          <w:webHidden/>
        </w:rPr>
        <w:fldChar w:fldCharType="end"/>
      </w:r>
    </w:p>
    <w:p w14:paraId="39FB26EF" w14:textId="7D9830E7" w:rsidR="00780305" w:rsidRDefault="00780305">
      <w:pPr>
        <w:pStyle w:val="TableofFigures"/>
        <w:rPr>
          <w:rFonts w:asciiTheme="minorHAnsi" w:eastAsiaTheme="minorEastAsia" w:hAnsiTheme="minorHAnsi" w:cstheme="minorBidi"/>
          <w:color w:val="auto"/>
          <w:sz w:val="22"/>
          <w:lang w:eastAsia="en-AU"/>
        </w:rPr>
      </w:pPr>
      <w:r>
        <w:t>Table B2</w:t>
      </w:r>
      <w:r>
        <w:rPr>
          <w:rFonts w:asciiTheme="minorHAnsi" w:eastAsiaTheme="minorEastAsia" w:hAnsiTheme="minorHAnsi" w:cstheme="minorBidi"/>
          <w:color w:val="auto"/>
          <w:sz w:val="22"/>
          <w:lang w:eastAsia="en-AU"/>
        </w:rPr>
        <w:tab/>
      </w:r>
      <w:r>
        <w:t>Annual observed and expected services for cancer-related therapeutic procedures in 2020, by jurisdiction</w:t>
      </w:r>
      <w:r>
        <w:rPr>
          <w:webHidden/>
        </w:rPr>
        <w:tab/>
      </w:r>
      <w:r>
        <w:rPr>
          <w:webHidden/>
        </w:rPr>
        <w:fldChar w:fldCharType="begin"/>
      </w:r>
      <w:r>
        <w:rPr>
          <w:webHidden/>
        </w:rPr>
        <w:instrText xml:space="preserve"> PAGEREF _Toc83720975 \h </w:instrText>
      </w:r>
      <w:r>
        <w:rPr>
          <w:webHidden/>
        </w:rPr>
      </w:r>
      <w:r>
        <w:rPr>
          <w:webHidden/>
        </w:rPr>
        <w:fldChar w:fldCharType="separate"/>
      </w:r>
      <w:r>
        <w:rPr>
          <w:webHidden/>
        </w:rPr>
        <w:t>32</w:t>
      </w:r>
      <w:r>
        <w:rPr>
          <w:webHidden/>
        </w:rPr>
        <w:fldChar w:fldCharType="end"/>
      </w:r>
    </w:p>
    <w:p w14:paraId="42F01F2D" w14:textId="0877D772" w:rsidR="00D16A9B" w:rsidRDefault="000D590C">
      <w:r>
        <w:fldChar w:fldCharType="end"/>
      </w:r>
    </w:p>
    <w:p w14:paraId="10E8E707" w14:textId="77777777" w:rsidR="00D16A9B" w:rsidRDefault="00A036E1">
      <w:pPr>
        <w:pStyle w:val="Heading2a"/>
      </w:pPr>
      <w:r>
        <w:t xml:space="preserve">Figures </w:t>
      </w:r>
    </w:p>
    <w:p w14:paraId="4ABCCB1C" w14:textId="7A301772" w:rsidR="00780305" w:rsidRDefault="000D590C">
      <w:pPr>
        <w:pStyle w:val="TableofFigures"/>
        <w:rPr>
          <w:rFonts w:asciiTheme="minorHAnsi" w:eastAsiaTheme="minorEastAsia" w:hAnsiTheme="minorHAnsi" w:cstheme="minorBidi"/>
          <w:color w:val="auto"/>
          <w:sz w:val="22"/>
          <w:lang w:eastAsia="en-AU"/>
        </w:rPr>
      </w:pPr>
      <w:r>
        <w:fldChar w:fldCharType="begin"/>
      </w:r>
      <w:r w:rsidR="00A036E1">
        <w:instrText xml:space="preserve"> TOC \z \t "FigureName" \c </w:instrText>
      </w:r>
      <w:r>
        <w:fldChar w:fldCharType="separate"/>
      </w:r>
      <w:r w:rsidR="00780305">
        <w:t>Figure 1</w:t>
      </w:r>
      <w:r w:rsidR="00780305">
        <w:rPr>
          <w:rFonts w:asciiTheme="minorHAnsi" w:eastAsiaTheme="minorEastAsia" w:hAnsiTheme="minorHAnsi" w:cstheme="minorBidi"/>
          <w:color w:val="auto"/>
          <w:sz w:val="22"/>
          <w:lang w:eastAsia="en-AU"/>
        </w:rPr>
        <w:tab/>
      </w:r>
      <w:r w:rsidR="00780305">
        <w:t>Ratio of the observed to expected number of services for selected cancer-related diagnostic procedures for 2020, by cancer type</w:t>
      </w:r>
      <w:r w:rsidR="00780305">
        <w:rPr>
          <w:webHidden/>
        </w:rPr>
        <w:tab/>
      </w:r>
      <w:r w:rsidR="00780305">
        <w:rPr>
          <w:webHidden/>
        </w:rPr>
        <w:fldChar w:fldCharType="begin"/>
      </w:r>
      <w:r w:rsidR="00780305">
        <w:rPr>
          <w:webHidden/>
        </w:rPr>
        <w:instrText xml:space="preserve"> PAGEREF _Toc83720976 \h </w:instrText>
      </w:r>
      <w:r w:rsidR="00780305">
        <w:rPr>
          <w:webHidden/>
        </w:rPr>
      </w:r>
      <w:r w:rsidR="00780305">
        <w:rPr>
          <w:webHidden/>
        </w:rPr>
        <w:fldChar w:fldCharType="separate"/>
      </w:r>
      <w:r w:rsidR="00780305">
        <w:rPr>
          <w:webHidden/>
        </w:rPr>
        <w:t>5</w:t>
      </w:r>
      <w:r w:rsidR="00780305">
        <w:rPr>
          <w:webHidden/>
        </w:rPr>
        <w:fldChar w:fldCharType="end"/>
      </w:r>
    </w:p>
    <w:p w14:paraId="47C8DA85" w14:textId="248C5688" w:rsidR="00780305" w:rsidRDefault="00780305">
      <w:pPr>
        <w:pStyle w:val="TableofFigures"/>
        <w:rPr>
          <w:rFonts w:asciiTheme="minorHAnsi" w:eastAsiaTheme="minorEastAsia" w:hAnsiTheme="minorHAnsi" w:cstheme="minorBidi"/>
          <w:color w:val="auto"/>
          <w:sz w:val="22"/>
          <w:lang w:eastAsia="en-AU"/>
        </w:rPr>
      </w:pPr>
      <w:r>
        <w:t>Figure 1.1</w:t>
      </w:r>
      <w:r>
        <w:rPr>
          <w:rFonts w:asciiTheme="minorHAnsi" w:eastAsiaTheme="minorEastAsia" w:hAnsiTheme="minorHAnsi" w:cstheme="minorBidi"/>
          <w:color w:val="auto"/>
          <w:sz w:val="22"/>
          <w:lang w:eastAsia="en-AU"/>
        </w:rPr>
        <w:tab/>
      </w:r>
      <w:r>
        <w:t>Annual observed and expected number of services for breast cancer-related diagnostic procedures in 2020, by jurisdiction</w:t>
      </w:r>
      <w:r>
        <w:rPr>
          <w:webHidden/>
        </w:rPr>
        <w:tab/>
      </w:r>
      <w:r>
        <w:rPr>
          <w:webHidden/>
        </w:rPr>
        <w:fldChar w:fldCharType="begin"/>
      </w:r>
      <w:r>
        <w:rPr>
          <w:webHidden/>
        </w:rPr>
        <w:instrText xml:space="preserve"> PAGEREF _Toc83720977 \h </w:instrText>
      </w:r>
      <w:r>
        <w:rPr>
          <w:webHidden/>
        </w:rPr>
      </w:r>
      <w:r>
        <w:rPr>
          <w:webHidden/>
        </w:rPr>
        <w:fldChar w:fldCharType="separate"/>
      </w:r>
      <w:r>
        <w:rPr>
          <w:webHidden/>
        </w:rPr>
        <w:t>6</w:t>
      </w:r>
      <w:r>
        <w:rPr>
          <w:webHidden/>
        </w:rPr>
        <w:fldChar w:fldCharType="end"/>
      </w:r>
    </w:p>
    <w:p w14:paraId="7F7408FD" w14:textId="12537C9C" w:rsidR="00780305" w:rsidRDefault="00780305">
      <w:pPr>
        <w:pStyle w:val="TableofFigures"/>
        <w:rPr>
          <w:rFonts w:asciiTheme="minorHAnsi" w:eastAsiaTheme="minorEastAsia" w:hAnsiTheme="minorHAnsi" w:cstheme="minorBidi"/>
          <w:color w:val="auto"/>
          <w:sz w:val="22"/>
          <w:lang w:eastAsia="en-AU"/>
        </w:rPr>
      </w:pPr>
      <w:r>
        <w:t>Figure 1.2</w:t>
      </w:r>
      <w:r>
        <w:rPr>
          <w:rFonts w:asciiTheme="minorHAnsi" w:eastAsiaTheme="minorEastAsia" w:hAnsiTheme="minorHAnsi" w:cstheme="minorBidi"/>
          <w:color w:val="auto"/>
          <w:sz w:val="22"/>
          <w:lang w:eastAsia="en-AU"/>
        </w:rPr>
        <w:tab/>
      </w:r>
      <w:r>
        <w:t>Annual observed and expected number of services for colorectal cancer-related diagnostic procedures in 2020, by jurisdiction</w:t>
      </w:r>
      <w:r>
        <w:rPr>
          <w:webHidden/>
        </w:rPr>
        <w:tab/>
      </w:r>
      <w:r>
        <w:rPr>
          <w:webHidden/>
        </w:rPr>
        <w:fldChar w:fldCharType="begin"/>
      </w:r>
      <w:r>
        <w:rPr>
          <w:webHidden/>
        </w:rPr>
        <w:instrText xml:space="preserve"> PAGEREF _Toc83720978 \h </w:instrText>
      </w:r>
      <w:r>
        <w:rPr>
          <w:webHidden/>
        </w:rPr>
      </w:r>
      <w:r>
        <w:rPr>
          <w:webHidden/>
        </w:rPr>
        <w:fldChar w:fldCharType="separate"/>
      </w:r>
      <w:r>
        <w:rPr>
          <w:webHidden/>
        </w:rPr>
        <w:t>7</w:t>
      </w:r>
      <w:r>
        <w:rPr>
          <w:webHidden/>
        </w:rPr>
        <w:fldChar w:fldCharType="end"/>
      </w:r>
    </w:p>
    <w:p w14:paraId="2189C899" w14:textId="7038FF12" w:rsidR="00780305" w:rsidRDefault="00780305">
      <w:pPr>
        <w:pStyle w:val="TableofFigures"/>
        <w:rPr>
          <w:rFonts w:asciiTheme="minorHAnsi" w:eastAsiaTheme="minorEastAsia" w:hAnsiTheme="minorHAnsi" w:cstheme="minorBidi"/>
          <w:color w:val="auto"/>
          <w:sz w:val="22"/>
          <w:lang w:eastAsia="en-AU"/>
        </w:rPr>
      </w:pPr>
      <w:r>
        <w:t>Figure 1.3</w:t>
      </w:r>
      <w:r>
        <w:rPr>
          <w:rFonts w:asciiTheme="minorHAnsi" w:eastAsiaTheme="minorEastAsia" w:hAnsiTheme="minorHAnsi" w:cstheme="minorBidi"/>
          <w:color w:val="auto"/>
          <w:sz w:val="22"/>
          <w:lang w:eastAsia="en-AU"/>
        </w:rPr>
        <w:tab/>
      </w:r>
      <w:r>
        <w:t>Annual observed and expected number of services for kidney cancer-related diagnostic procedures in 2020, by jurisdiction</w:t>
      </w:r>
      <w:r>
        <w:rPr>
          <w:webHidden/>
        </w:rPr>
        <w:tab/>
      </w:r>
      <w:r>
        <w:rPr>
          <w:webHidden/>
        </w:rPr>
        <w:fldChar w:fldCharType="begin"/>
      </w:r>
      <w:r>
        <w:rPr>
          <w:webHidden/>
        </w:rPr>
        <w:instrText xml:space="preserve"> PAGEREF _Toc83720979 \h </w:instrText>
      </w:r>
      <w:r>
        <w:rPr>
          <w:webHidden/>
        </w:rPr>
      </w:r>
      <w:r>
        <w:rPr>
          <w:webHidden/>
        </w:rPr>
        <w:fldChar w:fldCharType="separate"/>
      </w:r>
      <w:r>
        <w:rPr>
          <w:webHidden/>
        </w:rPr>
        <w:t>8</w:t>
      </w:r>
      <w:r>
        <w:rPr>
          <w:webHidden/>
        </w:rPr>
        <w:fldChar w:fldCharType="end"/>
      </w:r>
    </w:p>
    <w:p w14:paraId="3DE164A2" w14:textId="506BDFAD" w:rsidR="00780305" w:rsidRDefault="00780305">
      <w:pPr>
        <w:pStyle w:val="TableofFigures"/>
        <w:rPr>
          <w:rFonts w:asciiTheme="minorHAnsi" w:eastAsiaTheme="minorEastAsia" w:hAnsiTheme="minorHAnsi" w:cstheme="minorBidi"/>
          <w:color w:val="auto"/>
          <w:sz w:val="22"/>
          <w:lang w:eastAsia="en-AU"/>
        </w:rPr>
      </w:pPr>
      <w:r>
        <w:t>Figure 1.4</w:t>
      </w:r>
      <w:r>
        <w:rPr>
          <w:rFonts w:asciiTheme="minorHAnsi" w:eastAsiaTheme="minorEastAsia" w:hAnsiTheme="minorHAnsi" w:cstheme="minorBidi"/>
          <w:color w:val="auto"/>
          <w:sz w:val="22"/>
          <w:lang w:eastAsia="en-AU"/>
        </w:rPr>
        <w:tab/>
      </w:r>
      <w:r>
        <w:t>Annual observed and expected number of services for liver cancer-related diagnostic procedures in 2020, by jurisdiction</w:t>
      </w:r>
      <w:r>
        <w:rPr>
          <w:webHidden/>
        </w:rPr>
        <w:tab/>
      </w:r>
      <w:r>
        <w:rPr>
          <w:webHidden/>
        </w:rPr>
        <w:fldChar w:fldCharType="begin"/>
      </w:r>
      <w:r>
        <w:rPr>
          <w:webHidden/>
        </w:rPr>
        <w:instrText xml:space="preserve"> PAGEREF _Toc83720980 \h </w:instrText>
      </w:r>
      <w:r>
        <w:rPr>
          <w:webHidden/>
        </w:rPr>
      </w:r>
      <w:r>
        <w:rPr>
          <w:webHidden/>
        </w:rPr>
        <w:fldChar w:fldCharType="separate"/>
      </w:r>
      <w:r>
        <w:rPr>
          <w:webHidden/>
        </w:rPr>
        <w:t>9</w:t>
      </w:r>
      <w:r>
        <w:rPr>
          <w:webHidden/>
        </w:rPr>
        <w:fldChar w:fldCharType="end"/>
      </w:r>
    </w:p>
    <w:p w14:paraId="0ADE6688" w14:textId="06DA40C9" w:rsidR="00780305" w:rsidRDefault="00780305">
      <w:pPr>
        <w:pStyle w:val="TableofFigures"/>
        <w:rPr>
          <w:rFonts w:asciiTheme="minorHAnsi" w:eastAsiaTheme="minorEastAsia" w:hAnsiTheme="minorHAnsi" w:cstheme="minorBidi"/>
          <w:color w:val="auto"/>
          <w:sz w:val="22"/>
          <w:lang w:eastAsia="en-AU"/>
        </w:rPr>
      </w:pPr>
      <w:r>
        <w:t>Figure 1.5</w:t>
      </w:r>
      <w:r>
        <w:rPr>
          <w:rFonts w:asciiTheme="minorHAnsi" w:eastAsiaTheme="minorEastAsia" w:hAnsiTheme="minorHAnsi" w:cstheme="minorBidi"/>
          <w:color w:val="auto"/>
          <w:sz w:val="22"/>
          <w:lang w:eastAsia="en-AU"/>
        </w:rPr>
        <w:tab/>
      </w:r>
      <w:r>
        <w:t>Annual observed and expected number of services for lung cancer-related diagnostic procedures in 2020, by jurisdiction</w:t>
      </w:r>
      <w:r>
        <w:rPr>
          <w:webHidden/>
        </w:rPr>
        <w:tab/>
      </w:r>
      <w:r>
        <w:rPr>
          <w:webHidden/>
        </w:rPr>
        <w:fldChar w:fldCharType="begin"/>
      </w:r>
      <w:r>
        <w:rPr>
          <w:webHidden/>
        </w:rPr>
        <w:instrText xml:space="preserve"> PAGEREF _Toc83720981 \h </w:instrText>
      </w:r>
      <w:r>
        <w:rPr>
          <w:webHidden/>
        </w:rPr>
      </w:r>
      <w:r>
        <w:rPr>
          <w:webHidden/>
        </w:rPr>
        <w:fldChar w:fldCharType="separate"/>
      </w:r>
      <w:r>
        <w:rPr>
          <w:webHidden/>
        </w:rPr>
        <w:t>10</w:t>
      </w:r>
      <w:r>
        <w:rPr>
          <w:webHidden/>
        </w:rPr>
        <w:fldChar w:fldCharType="end"/>
      </w:r>
    </w:p>
    <w:p w14:paraId="1110346B" w14:textId="0C7FC437" w:rsidR="00780305" w:rsidRDefault="00780305">
      <w:pPr>
        <w:pStyle w:val="TableofFigures"/>
        <w:rPr>
          <w:rFonts w:asciiTheme="minorHAnsi" w:eastAsiaTheme="minorEastAsia" w:hAnsiTheme="minorHAnsi" w:cstheme="minorBidi"/>
          <w:color w:val="auto"/>
          <w:sz w:val="22"/>
          <w:lang w:eastAsia="en-AU"/>
        </w:rPr>
      </w:pPr>
      <w:r>
        <w:t>Figure 1.6</w:t>
      </w:r>
      <w:r>
        <w:rPr>
          <w:rFonts w:asciiTheme="minorHAnsi" w:eastAsiaTheme="minorEastAsia" w:hAnsiTheme="minorHAnsi" w:cstheme="minorBidi"/>
          <w:color w:val="auto"/>
          <w:sz w:val="22"/>
          <w:lang w:eastAsia="en-AU"/>
        </w:rPr>
        <w:tab/>
      </w:r>
      <w:r>
        <w:t>Annual observed and expected number of services for prostate cancer-related diagnostic procedures in 2020, by jurisdiction</w:t>
      </w:r>
      <w:r>
        <w:rPr>
          <w:webHidden/>
        </w:rPr>
        <w:tab/>
      </w:r>
      <w:r>
        <w:rPr>
          <w:webHidden/>
        </w:rPr>
        <w:fldChar w:fldCharType="begin"/>
      </w:r>
      <w:r>
        <w:rPr>
          <w:webHidden/>
        </w:rPr>
        <w:instrText xml:space="preserve"> PAGEREF _Toc83720982 \h </w:instrText>
      </w:r>
      <w:r>
        <w:rPr>
          <w:webHidden/>
        </w:rPr>
      </w:r>
      <w:r>
        <w:rPr>
          <w:webHidden/>
        </w:rPr>
        <w:fldChar w:fldCharType="separate"/>
      </w:r>
      <w:r>
        <w:rPr>
          <w:webHidden/>
        </w:rPr>
        <w:t>11</w:t>
      </w:r>
      <w:r>
        <w:rPr>
          <w:webHidden/>
        </w:rPr>
        <w:fldChar w:fldCharType="end"/>
      </w:r>
    </w:p>
    <w:p w14:paraId="35B7AB83" w14:textId="20855A40" w:rsidR="00780305" w:rsidRDefault="00780305">
      <w:pPr>
        <w:pStyle w:val="TableofFigures"/>
        <w:rPr>
          <w:rFonts w:asciiTheme="minorHAnsi" w:eastAsiaTheme="minorEastAsia" w:hAnsiTheme="minorHAnsi" w:cstheme="minorBidi"/>
          <w:color w:val="auto"/>
          <w:sz w:val="22"/>
          <w:lang w:eastAsia="en-AU"/>
        </w:rPr>
      </w:pPr>
      <w:r>
        <w:t>Figure 1.7</w:t>
      </w:r>
      <w:r>
        <w:rPr>
          <w:rFonts w:asciiTheme="minorHAnsi" w:eastAsiaTheme="minorEastAsia" w:hAnsiTheme="minorHAnsi" w:cstheme="minorBidi"/>
          <w:color w:val="auto"/>
          <w:sz w:val="22"/>
          <w:lang w:eastAsia="en-AU"/>
        </w:rPr>
        <w:tab/>
      </w:r>
      <w:r>
        <w:t>Annual observed and expected number of services for stomach and pancreatic cancer-related diagnostic procedures in 2020, by jurisdiction</w:t>
      </w:r>
      <w:r>
        <w:rPr>
          <w:webHidden/>
        </w:rPr>
        <w:tab/>
      </w:r>
      <w:r>
        <w:rPr>
          <w:webHidden/>
        </w:rPr>
        <w:fldChar w:fldCharType="begin"/>
      </w:r>
      <w:r>
        <w:rPr>
          <w:webHidden/>
        </w:rPr>
        <w:instrText xml:space="preserve"> PAGEREF _Toc83720983 \h </w:instrText>
      </w:r>
      <w:r>
        <w:rPr>
          <w:webHidden/>
        </w:rPr>
      </w:r>
      <w:r>
        <w:rPr>
          <w:webHidden/>
        </w:rPr>
        <w:fldChar w:fldCharType="separate"/>
      </w:r>
      <w:r>
        <w:rPr>
          <w:webHidden/>
        </w:rPr>
        <w:t>12</w:t>
      </w:r>
      <w:r>
        <w:rPr>
          <w:webHidden/>
        </w:rPr>
        <w:fldChar w:fldCharType="end"/>
      </w:r>
    </w:p>
    <w:p w14:paraId="623B94BC" w14:textId="411DA53E" w:rsidR="00780305" w:rsidRDefault="00780305">
      <w:pPr>
        <w:pStyle w:val="TableofFigures"/>
        <w:rPr>
          <w:rFonts w:asciiTheme="minorHAnsi" w:eastAsiaTheme="minorEastAsia" w:hAnsiTheme="minorHAnsi" w:cstheme="minorBidi"/>
          <w:color w:val="auto"/>
          <w:sz w:val="22"/>
          <w:lang w:eastAsia="en-AU"/>
        </w:rPr>
      </w:pPr>
      <w:r>
        <w:t>Figure 1.8</w:t>
      </w:r>
      <w:r>
        <w:rPr>
          <w:rFonts w:asciiTheme="minorHAnsi" w:eastAsiaTheme="minorEastAsia" w:hAnsiTheme="minorHAnsi" w:cstheme="minorBidi"/>
          <w:color w:val="auto"/>
          <w:sz w:val="22"/>
          <w:lang w:eastAsia="en-AU"/>
        </w:rPr>
        <w:tab/>
      </w:r>
      <w:r>
        <w:t>Annual observed and expected number of services for uterine cancer-related diagnostic procedures in 2020, by jurisdiction</w:t>
      </w:r>
      <w:r>
        <w:rPr>
          <w:webHidden/>
        </w:rPr>
        <w:tab/>
      </w:r>
      <w:r>
        <w:rPr>
          <w:webHidden/>
        </w:rPr>
        <w:fldChar w:fldCharType="begin"/>
      </w:r>
      <w:r>
        <w:rPr>
          <w:webHidden/>
        </w:rPr>
        <w:instrText xml:space="preserve"> PAGEREF _Toc83720984 \h </w:instrText>
      </w:r>
      <w:r>
        <w:rPr>
          <w:webHidden/>
        </w:rPr>
      </w:r>
      <w:r>
        <w:rPr>
          <w:webHidden/>
        </w:rPr>
        <w:fldChar w:fldCharType="separate"/>
      </w:r>
      <w:r>
        <w:rPr>
          <w:webHidden/>
        </w:rPr>
        <w:t>13</w:t>
      </w:r>
      <w:r>
        <w:rPr>
          <w:webHidden/>
        </w:rPr>
        <w:fldChar w:fldCharType="end"/>
      </w:r>
    </w:p>
    <w:p w14:paraId="22C5C977" w14:textId="6A9B7868" w:rsidR="00780305" w:rsidRDefault="00780305">
      <w:pPr>
        <w:pStyle w:val="TableofFigures"/>
        <w:rPr>
          <w:rFonts w:asciiTheme="minorHAnsi" w:eastAsiaTheme="minorEastAsia" w:hAnsiTheme="minorHAnsi" w:cstheme="minorBidi"/>
          <w:color w:val="auto"/>
          <w:sz w:val="22"/>
          <w:lang w:eastAsia="en-AU"/>
        </w:rPr>
      </w:pPr>
      <w:r>
        <w:t>Figure 2</w:t>
      </w:r>
      <w:r>
        <w:rPr>
          <w:rFonts w:asciiTheme="minorHAnsi" w:eastAsiaTheme="minorEastAsia" w:hAnsiTheme="minorHAnsi" w:cstheme="minorBidi"/>
          <w:color w:val="auto"/>
          <w:sz w:val="22"/>
          <w:lang w:eastAsia="en-AU"/>
        </w:rPr>
        <w:tab/>
      </w:r>
      <w:r>
        <w:t>Ratio of the observed number of services to expected number of services for selected cancer-related therapeutic procedures for 2020, by cancer type</w:t>
      </w:r>
      <w:r>
        <w:rPr>
          <w:webHidden/>
        </w:rPr>
        <w:tab/>
      </w:r>
      <w:r>
        <w:rPr>
          <w:webHidden/>
        </w:rPr>
        <w:fldChar w:fldCharType="begin"/>
      </w:r>
      <w:r>
        <w:rPr>
          <w:webHidden/>
        </w:rPr>
        <w:instrText xml:space="preserve"> PAGEREF _Toc83720985 \h </w:instrText>
      </w:r>
      <w:r>
        <w:rPr>
          <w:webHidden/>
        </w:rPr>
      </w:r>
      <w:r>
        <w:rPr>
          <w:webHidden/>
        </w:rPr>
        <w:fldChar w:fldCharType="separate"/>
      </w:r>
      <w:r>
        <w:rPr>
          <w:webHidden/>
        </w:rPr>
        <w:t>15</w:t>
      </w:r>
      <w:r>
        <w:rPr>
          <w:webHidden/>
        </w:rPr>
        <w:fldChar w:fldCharType="end"/>
      </w:r>
    </w:p>
    <w:p w14:paraId="18CE938E" w14:textId="318B0541" w:rsidR="00780305" w:rsidRDefault="00780305">
      <w:pPr>
        <w:pStyle w:val="TableofFigures"/>
        <w:rPr>
          <w:rFonts w:asciiTheme="minorHAnsi" w:eastAsiaTheme="minorEastAsia" w:hAnsiTheme="minorHAnsi" w:cstheme="minorBidi"/>
          <w:color w:val="auto"/>
          <w:sz w:val="22"/>
          <w:lang w:eastAsia="en-AU"/>
        </w:rPr>
      </w:pPr>
      <w:r>
        <w:t>Figure 2.1</w:t>
      </w:r>
      <w:r>
        <w:rPr>
          <w:rFonts w:asciiTheme="minorHAnsi" w:eastAsiaTheme="minorEastAsia" w:hAnsiTheme="minorHAnsi" w:cstheme="minorBidi"/>
          <w:color w:val="auto"/>
          <w:sz w:val="22"/>
          <w:lang w:eastAsia="en-AU"/>
        </w:rPr>
        <w:tab/>
      </w:r>
      <w:r>
        <w:t>Annual observed and expected number of services for breast cancer-related therapeutic procedures in 2020, by jurisdiction</w:t>
      </w:r>
      <w:r>
        <w:rPr>
          <w:webHidden/>
        </w:rPr>
        <w:tab/>
      </w:r>
      <w:r>
        <w:rPr>
          <w:webHidden/>
        </w:rPr>
        <w:fldChar w:fldCharType="begin"/>
      </w:r>
      <w:r>
        <w:rPr>
          <w:webHidden/>
        </w:rPr>
        <w:instrText xml:space="preserve"> PAGEREF _Toc83720986 \h </w:instrText>
      </w:r>
      <w:r>
        <w:rPr>
          <w:webHidden/>
        </w:rPr>
      </w:r>
      <w:r>
        <w:rPr>
          <w:webHidden/>
        </w:rPr>
        <w:fldChar w:fldCharType="separate"/>
      </w:r>
      <w:r>
        <w:rPr>
          <w:webHidden/>
        </w:rPr>
        <w:t>16</w:t>
      </w:r>
      <w:r>
        <w:rPr>
          <w:webHidden/>
        </w:rPr>
        <w:fldChar w:fldCharType="end"/>
      </w:r>
    </w:p>
    <w:p w14:paraId="47FF6057" w14:textId="19140691" w:rsidR="00780305" w:rsidRDefault="00780305">
      <w:pPr>
        <w:pStyle w:val="TableofFigures"/>
        <w:rPr>
          <w:rFonts w:asciiTheme="minorHAnsi" w:eastAsiaTheme="minorEastAsia" w:hAnsiTheme="minorHAnsi" w:cstheme="minorBidi"/>
          <w:color w:val="auto"/>
          <w:sz w:val="22"/>
          <w:lang w:eastAsia="en-AU"/>
        </w:rPr>
      </w:pPr>
      <w:r>
        <w:t>Figure 2.2</w:t>
      </w:r>
      <w:r>
        <w:rPr>
          <w:rFonts w:asciiTheme="minorHAnsi" w:eastAsiaTheme="minorEastAsia" w:hAnsiTheme="minorHAnsi" w:cstheme="minorBidi"/>
          <w:color w:val="auto"/>
          <w:sz w:val="22"/>
          <w:lang w:eastAsia="en-AU"/>
        </w:rPr>
        <w:tab/>
      </w:r>
      <w:r>
        <w:t>Annual observed and expected number of services for colorectal cancer-related therapeutic procedures in 2020, by jurisdiction</w:t>
      </w:r>
      <w:r>
        <w:rPr>
          <w:webHidden/>
        </w:rPr>
        <w:tab/>
      </w:r>
      <w:r>
        <w:rPr>
          <w:webHidden/>
        </w:rPr>
        <w:fldChar w:fldCharType="begin"/>
      </w:r>
      <w:r>
        <w:rPr>
          <w:webHidden/>
        </w:rPr>
        <w:instrText xml:space="preserve"> PAGEREF _Toc83720987 \h </w:instrText>
      </w:r>
      <w:r>
        <w:rPr>
          <w:webHidden/>
        </w:rPr>
      </w:r>
      <w:r>
        <w:rPr>
          <w:webHidden/>
        </w:rPr>
        <w:fldChar w:fldCharType="separate"/>
      </w:r>
      <w:r>
        <w:rPr>
          <w:webHidden/>
        </w:rPr>
        <w:t>17</w:t>
      </w:r>
      <w:r>
        <w:rPr>
          <w:webHidden/>
        </w:rPr>
        <w:fldChar w:fldCharType="end"/>
      </w:r>
    </w:p>
    <w:p w14:paraId="2B1FB476" w14:textId="155CF27F" w:rsidR="00780305" w:rsidRDefault="00780305">
      <w:pPr>
        <w:pStyle w:val="TableofFigures"/>
        <w:rPr>
          <w:rFonts w:asciiTheme="minorHAnsi" w:eastAsiaTheme="minorEastAsia" w:hAnsiTheme="minorHAnsi" w:cstheme="minorBidi"/>
          <w:color w:val="auto"/>
          <w:sz w:val="22"/>
          <w:lang w:eastAsia="en-AU"/>
        </w:rPr>
      </w:pPr>
      <w:r>
        <w:t>Figure 2.3</w:t>
      </w:r>
      <w:r>
        <w:rPr>
          <w:rFonts w:asciiTheme="minorHAnsi" w:eastAsiaTheme="minorEastAsia" w:hAnsiTheme="minorHAnsi" w:cstheme="minorBidi"/>
          <w:color w:val="auto"/>
          <w:sz w:val="22"/>
          <w:lang w:eastAsia="en-AU"/>
        </w:rPr>
        <w:tab/>
      </w:r>
      <w:r>
        <w:t xml:space="preserve"> Annual observed and expected number of services for kidney cancer-related therapeutic procedures in 2020, by jurisdiction</w:t>
      </w:r>
      <w:r>
        <w:rPr>
          <w:webHidden/>
        </w:rPr>
        <w:tab/>
      </w:r>
      <w:r>
        <w:rPr>
          <w:webHidden/>
        </w:rPr>
        <w:fldChar w:fldCharType="begin"/>
      </w:r>
      <w:r>
        <w:rPr>
          <w:webHidden/>
        </w:rPr>
        <w:instrText xml:space="preserve"> PAGEREF _Toc83720988 \h </w:instrText>
      </w:r>
      <w:r>
        <w:rPr>
          <w:webHidden/>
        </w:rPr>
      </w:r>
      <w:r>
        <w:rPr>
          <w:webHidden/>
        </w:rPr>
        <w:fldChar w:fldCharType="separate"/>
      </w:r>
      <w:r>
        <w:rPr>
          <w:webHidden/>
        </w:rPr>
        <w:t>18</w:t>
      </w:r>
      <w:r>
        <w:rPr>
          <w:webHidden/>
        </w:rPr>
        <w:fldChar w:fldCharType="end"/>
      </w:r>
    </w:p>
    <w:p w14:paraId="7A5AD7F3" w14:textId="6077291C" w:rsidR="00780305" w:rsidRDefault="00780305">
      <w:pPr>
        <w:pStyle w:val="TableofFigures"/>
        <w:rPr>
          <w:rFonts w:asciiTheme="minorHAnsi" w:eastAsiaTheme="minorEastAsia" w:hAnsiTheme="minorHAnsi" w:cstheme="minorBidi"/>
          <w:color w:val="auto"/>
          <w:sz w:val="22"/>
          <w:lang w:eastAsia="en-AU"/>
        </w:rPr>
      </w:pPr>
      <w:r>
        <w:lastRenderedPageBreak/>
        <w:t>Figure 2.4</w:t>
      </w:r>
      <w:r>
        <w:rPr>
          <w:rFonts w:asciiTheme="minorHAnsi" w:eastAsiaTheme="minorEastAsia" w:hAnsiTheme="minorHAnsi" w:cstheme="minorBidi"/>
          <w:color w:val="auto"/>
          <w:sz w:val="22"/>
          <w:lang w:eastAsia="en-AU"/>
        </w:rPr>
        <w:tab/>
      </w:r>
      <w:r>
        <w:t>Annual observed and expected number of services for liver cancer-related therapeutic procedures in 2020, by jurisdiction</w:t>
      </w:r>
      <w:r>
        <w:rPr>
          <w:webHidden/>
        </w:rPr>
        <w:tab/>
      </w:r>
      <w:r>
        <w:rPr>
          <w:webHidden/>
        </w:rPr>
        <w:fldChar w:fldCharType="begin"/>
      </w:r>
      <w:r>
        <w:rPr>
          <w:webHidden/>
        </w:rPr>
        <w:instrText xml:space="preserve"> PAGEREF _Toc83720989 \h </w:instrText>
      </w:r>
      <w:r>
        <w:rPr>
          <w:webHidden/>
        </w:rPr>
      </w:r>
      <w:r>
        <w:rPr>
          <w:webHidden/>
        </w:rPr>
        <w:fldChar w:fldCharType="separate"/>
      </w:r>
      <w:r>
        <w:rPr>
          <w:webHidden/>
        </w:rPr>
        <w:t>19</w:t>
      </w:r>
      <w:r>
        <w:rPr>
          <w:webHidden/>
        </w:rPr>
        <w:fldChar w:fldCharType="end"/>
      </w:r>
    </w:p>
    <w:p w14:paraId="0A1B7141" w14:textId="7488E0F3" w:rsidR="00780305" w:rsidRDefault="00780305">
      <w:pPr>
        <w:pStyle w:val="TableofFigures"/>
        <w:rPr>
          <w:rFonts w:asciiTheme="minorHAnsi" w:eastAsiaTheme="minorEastAsia" w:hAnsiTheme="minorHAnsi" w:cstheme="minorBidi"/>
          <w:color w:val="auto"/>
          <w:sz w:val="22"/>
          <w:lang w:eastAsia="en-AU"/>
        </w:rPr>
      </w:pPr>
      <w:r>
        <w:t>Figure 2.5</w:t>
      </w:r>
      <w:r>
        <w:rPr>
          <w:rFonts w:asciiTheme="minorHAnsi" w:eastAsiaTheme="minorEastAsia" w:hAnsiTheme="minorHAnsi" w:cstheme="minorBidi"/>
          <w:color w:val="auto"/>
          <w:sz w:val="22"/>
          <w:lang w:eastAsia="en-AU"/>
        </w:rPr>
        <w:tab/>
      </w:r>
      <w:r>
        <w:t>Annual observed and expected number of services for lung cancer-related therapeutic procedures in 2020, by jurisdiction</w:t>
      </w:r>
      <w:r>
        <w:rPr>
          <w:webHidden/>
        </w:rPr>
        <w:tab/>
      </w:r>
      <w:r>
        <w:rPr>
          <w:webHidden/>
        </w:rPr>
        <w:fldChar w:fldCharType="begin"/>
      </w:r>
      <w:r>
        <w:rPr>
          <w:webHidden/>
        </w:rPr>
        <w:instrText xml:space="preserve"> PAGEREF _Toc83720990 \h </w:instrText>
      </w:r>
      <w:r>
        <w:rPr>
          <w:webHidden/>
        </w:rPr>
      </w:r>
      <w:r>
        <w:rPr>
          <w:webHidden/>
        </w:rPr>
        <w:fldChar w:fldCharType="separate"/>
      </w:r>
      <w:r>
        <w:rPr>
          <w:webHidden/>
        </w:rPr>
        <w:t>20</w:t>
      </w:r>
      <w:r>
        <w:rPr>
          <w:webHidden/>
        </w:rPr>
        <w:fldChar w:fldCharType="end"/>
      </w:r>
    </w:p>
    <w:p w14:paraId="59D47459" w14:textId="7D8599BA" w:rsidR="00780305" w:rsidRDefault="00780305">
      <w:pPr>
        <w:pStyle w:val="TableofFigures"/>
        <w:rPr>
          <w:rFonts w:asciiTheme="minorHAnsi" w:eastAsiaTheme="minorEastAsia" w:hAnsiTheme="minorHAnsi" w:cstheme="minorBidi"/>
          <w:color w:val="auto"/>
          <w:sz w:val="22"/>
          <w:lang w:eastAsia="en-AU"/>
        </w:rPr>
      </w:pPr>
      <w:r>
        <w:t>Figure 2.6</w:t>
      </w:r>
      <w:r>
        <w:rPr>
          <w:rFonts w:asciiTheme="minorHAnsi" w:eastAsiaTheme="minorEastAsia" w:hAnsiTheme="minorHAnsi" w:cstheme="minorBidi"/>
          <w:color w:val="auto"/>
          <w:sz w:val="22"/>
          <w:lang w:eastAsia="en-AU"/>
        </w:rPr>
        <w:tab/>
      </w:r>
      <w:r>
        <w:t>Annual observed and expected number of services for melanoma of the skin related therapeutic procedures in 2020, by jurisdiction</w:t>
      </w:r>
      <w:r>
        <w:rPr>
          <w:webHidden/>
        </w:rPr>
        <w:tab/>
      </w:r>
      <w:r>
        <w:rPr>
          <w:webHidden/>
        </w:rPr>
        <w:fldChar w:fldCharType="begin"/>
      </w:r>
      <w:r>
        <w:rPr>
          <w:webHidden/>
        </w:rPr>
        <w:instrText xml:space="preserve"> PAGEREF _Toc83720991 \h </w:instrText>
      </w:r>
      <w:r>
        <w:rPr>
          <w:webHidden/>
        </w:rPr>
      </w:r>
      <w:r>
        <w:rPr>
          <w:webHidden/>
        </w:rPr>
        <w:fldChar w:fldCharType="separate"/>
      </w:r>
      <w:r>
        <w:rPr>
          <w:webHidden/>
        </w:rPr>
        <w:t>21</w:t>
      </w:r>
      <w:r>
        <w:rPr>
          <w:webHidden/>
        </w:rPr>
        <w:fldChar w:fldCharType="end"/>
      </w:r>
    </w:p>
    <w:p w14:paraId="46805AD7" w14:textId="1965A2B3" w:rsidR="00780305" w:rsidRDefault="00780305">
      <w:pPr>
        <w:pStyle w:val="TableofFigures"/>
        <w:tabs>
          <w:tab w:val="left" w:pos="1540"/>
        </w:tabs>
        <w:rPr>
          <w:rFonts w:asciiTheme="minorHAnsi" w:eastAsiaTheme="minorEastAsia" w:hAnsiTheme="minorHAnsi" w:cstheme="minorBidi"/>
          <w:color w:val="auto"/>
          <w:sz w:val="22"/>
          <w:lang w:eastAsia="en-AU"/>
        </w:rPr>
      </w:pPr>
      <w:r>
        <w:t>Figure 2.7-a</w:t>
      </w:r>
      <w:r>
        <w:rPr>
          <w:rFonts w:asciiTheme="minorHAnsi" w:eastAsiaTheme="minorEastAsia" w:hAnsiTheme="minorHAnsi" w:cstheme="minorBidi"/>
          <w:color w:val="auto"/>
          <w:sz w:val="22"/>
          <w:lang w:eastAsia="en-AU"/>
        </w:rPr>
        <w:tab/>
      </w:r>
      <w:r>
        <w:t>Annual observed and expected number of services for prostate cancer-related therapeutic procedures in 2020, by jurisdiction</w:t>
      </w:r>
      <w:r>
        <w:rPr>
          <w:webHidden/>
        </w:rPr>
        <w:tab/>
      </w:r>
      <w:r>
        <w:rPr>
          <w:webHidden/>
        </w:rPr>
        <w:fldChar w:fldCharType="begin"/>
      </w:r>
      <w:r>
        <w:rPr>
          <w:webHidden/>
        </w:rPr>
        <w:instrText xml:space="preserve"> PAGEREF _Toc83720992 \h </w:instrText>
      </w:r>
      <w:r>
        <w:rPr>
          <w:webHidden/>
        </w:rPr>
      </w:r>
      <w:r>
        <w:rPr>
          <w:webHidden/>
        </w:rPr>
        <w:fldChar w:fldCharType="separate"/>
      </w:r>
      <w:r>
        <w:rPr>
          <w:webHidden/>
        </w:rPr>
        <w:t>23</w:t>
      </w:r>
      <w:r>
        <w:rPr>
          <w:webHidden/>
        </w:rPr>
        <w:fldChar w:fldCharType="end"/>
      </w:r>
    </w:p>
    <w:p w14:paraId="4529C225" w14:textId="5D9EC4A2" w:rsidR="00780305" w:rsidRDefault="00780305">
      <w:pPr>
        <w:pStyle w:val="TableofFigures"/>
        <w:tabs>
          <w:tab w:val="left" w:pos="1540"/>
        </w:tabs>
        <w:rPr>
          <w:rFonts w:asciiTheme="minorHAnsi" w:eastAsiaTheme="minorEastAsia" w:hAnsiTheme="minorHAnsi" w:cstheme="minorBidi"/>
          <w:color w:val="auto"/>
          <w:sz w:val="22"/>
          <w:lang w:eastAsia="en-AU"/>
        </w:rPr>
      </w:pPr>
      <w:r>
        <w:t>Figure 2.7-b</w:t>
      </w:r>
      <w:r>
        <w:rPr>
          <w:rFonts w:asciiTheme="minorHAnsi" w:eastAsiaTheme="minorEastAsia" w:hAnsiTheme="minorHAnsi" w:cstheme="minorBidi"/>
          <w:color w:val="auto"/>
          <w:sz w:val="22"/>
          <w:lang w:eastAsia="en-AU"/>
        </w:rPr>
        <w:tab/>
      </w:r>
      <w:r>
        <w:t>Annual observed and expected number of services for prostate cancer-related monitoring procedures in 2020, by jurisdiction</w:t>
      </w:r>
      <w:r>
        <w:rPr>
          <w:webHidden/>
        </w:rPr>
        <w:tab/>
      </w:r>
      <w:r>
        <w:rPr>
          <w:webHidden/>
        </w:rPr>
        <w:fldChar w:fldCharType="begin"/>
      </w:r>
      <w:r>
        <w:rPr>
          <w:webHidden/>
        </w:rPr>
        <w:instrText xml:space="preserve"> PAGEREF _Toc83720993 \h </w:instrText>
      </w:r>
      <w:r>
        <w:rPr>
          <w:webHidden/>
        </w:rPr>
      </w:r>
      <w:r>
        <w:rPr>
          <w:webHidden/>
        </w:rPr>
        <w:fldChar w:fldCharType="separate"/>
      </w:r>
      <w:r>
        <w:rPr>
          <w:webHidden/>
        </w:rPr>
        <w:t>24</w:t>
      </w:r>
      <w:r>
        <w:rPr>
          <w:webHidden/>
        </w:rPr>
        <w:fldChar w:fldCharType="end"/>
      </w:r>
    </w:p>
    <w:p w14:paraId="6E09EFB0" w14:textId="2F3EDF29" w:rsidR="00780305" w:rsidRDefault="00780305">
      <w:pPr>
        <w:pStyle w:val="TableofFigures"/>
        <w:rPr>
          <w:rFonts w:asciiTheme="minorHAnsi" w:eastAsiaTheme="minorEastAsia" w:hAnsiTheme="minorHAnsi" w:cstheme="minorBidi"/>
          <w:color w:val="auto"/>
          <w:sz w:val="22"/>
          <w:lang w:eastAsia="en-AU"/>
        </w:rPr>
      </w:pPr>
      <w:r>
        <w:t>Figure 2.8</w:t>
      </w:r>
      <w:r>
        <w:rPr>
          <w:rFonts w:asciiTheme="minorHAnsi" w:eastAsiaTheme="minorEastAsia" w:hAnsiTheme="minorHAnsi" w:cstheme="minorBidi"/>
          <w:color w:val="auto"/>
          <w:sz w:val="22"/>
          <w:lang w:eastAsia="en-AU"/>
        </w:rPr>
        <w:tab/>
      </w:r>
      <w:r>
        <w:t>Annual observed and expected number of services for pancreatic cancer-related therapeutic procedures in 2020, by jurisdiction</w:t>
      </w:r>
      <w:r>
        <w:rPr>
          <w:webHidden/>
        </w:rPr>
        <w:tab/>
      </w:r>
      <w:r>
        <w:rPr>
          <w:webHidden/>
        </w:rPr>
        <w:fldChar w:fldCharType="begin"/>
      </w:r>
      <w:r>
        <w:rPr>
          <w:webHidden/>
        </w:rPr>
        <w:instrText xml:space="preserve"> PAGEREF _Toc83720994 \h </w:instrText>
      </w:r>
      <w:r>
        <w:rPr>
          <w:webHidden/>
        </w:rPr>
      </w:r>
      <w:r>
        <w:rPr>
          <w:webHidden/>
        </w:rPr>
        <w:fldChar w:fldCharType="separate"/>
      </w:r>
      <w:r>
        <w:rPr>
          <w:webHidden/>
        </w:rPr>
        <w:t>25</w:t>
      </w:r>
      <w:r>
        <w:rPr>
          <w:webHidden/>
        </w:rPr>
        <w:fldChar w:fldCharType="end"/>
      </w:r>
    </w:p>
    <w:p w14:paraId="0E3D2282" w14:textId="0CCD37E9" w:rsidR="00780305" w:rsidRDefault="00780305">
      <w:pPr>
        <w:pStyle w:val="TableofFigures"/>
        <w:rPr>
          <w:rFonts w:asciiTheme="minorHAnsi" w:eastAsiaTheme="minorEastAsia" w:hAnsiTheme="minorHAnsi" w:cstheme="minorBidi"/>
          <w:color w:val="auto"/>
          <w:sz w:val="22"/>
          <w:lang w:eastAsia="en-AU"/>
        </w:rPr>
      </w:pPr>
      <w:r>
        <w:t>Figure 2.9</w:t>
      </w:r>
      <w:r>
        <w:rPr>
          <w:rFonts w:asciiTheme="minorHAnsi" w:eastAsiaTheme="minorEastAsia" w:hAnsiTheme="minorHAnsi" w:cstheme="minorBidi"/>
          <w:color w:val="auto"/>
          <w:sz w:val="22"/>
          <w:lang w:eastAsia="en-AU"/>
        </w:rPr>
        <w:tab/>
      </w:r>
      <w:r>
        <w:t>Annual observed and expected number of services for stomach cancer-related therapeutic procedures in 2020, by jurisdiction</w:t>
      </w:r>
      <w:r>
        <w:rPr>
          <w:webHidden/>
        </w:rPr>
        <w:tab/>
      </w:r>
      <w:r>
        <w:rPr>
          <w:webHidden/>
        </w:rPr>
        <w:fldChar w:fldCharType="begin"/>
      </w:r>
      <w:r>
        <w:rPr>
          <w:webHidden/>
        </w:rPr>
        <w:instrText xml:space="preserve"> PAGEREF _Toc83720995 \h </w:instrText>
      </w:r>
      <w:r>
        <w:rPr>
          <w:webHidden/>
        </w:rPr>
      </w:r>
      <w:r>
        <w:rPr>
          <w:webHidden/>
        </w:rPr>
        <w:fldChar w:fldCharType="separate"/>
      </w:r>
      <w:r>
        <w:rPr>
          <w:webHidden/>
        </w:rPr>
        <w:t>26</w:t>
      </w:r>
      <w:r>
        <w:rPr>
          <w:webHidden/>
        </w:rPr>
        <w:fldChar w:fldCharType="end"/>
      </w:r>
    </w:p>
    <w:p w14:paraId="5A619A89" w14:textId="1322385B" w:rsidR="00780305" w:rsidRDefault="00780305">
      <w:pPr>
        <w:pStyle w:val="TableofFigures"/>
        <w:rPr>
          <w:rFonts w:asciiTheme="minorHAnsi" w:eastAsiaTheme="minorEastAsia" w:hAnsiTheme="minorHAnsi" w:cstheme="minorBidi"/>
          <w:color w:val="auto"/>
          <w:sz w:val="22"/>
          <w:lang w:eastAsia="en-AU"/>
        </w:rPr>
      </w:pPr>
      <w:r>
        <w:t>Figure 2.10</w:t>
      </w:r>
      <w:r>
        <w:rPr>
          <w:rFonts w:asciiTheme="minorHAnsi" w:eastAsiaTheme="minorEastAsia" w:hAnsiTheme="minorHAnsi" w:cstheme="minorBidi"/>
          <w:color w:val="auto"/>
          <w:sz w:val="22"/>
          <w:lang w:eastAsia="en-AU"/>
        </w:rPr>
        <w:tab/>
      </w:r>
      <w:r>
        <w:t>Annual observed and expected number of services for gynaecological cancer-related therapeutic procedures in 2020, by jurisdiction</w:t>
      </w:r>
      <w:r>
        <w:rPr>
          <w:webHidden/>
        </w:rPr>
        <w:tab/>
      </w:r>
      <w:r>
        <w:rPr>
          <w:webHidden/>
        </w:rPr>
        <w:fldChar w:fldCharType="begin"/>
      </w:r>
      <w:r>
        <w:rPr>
          <w:webHidden/>
        </w:rPr>
        <w:instrText xml:space="preserve"> PAGEREF _Toc83720996 \h </w:instrText>
      </w:r>
      <w:r>
        <w:rPr>
          <w:webHidden/>
        </w:rPr>
      </w:r>
      <w:r>
        <w:rPr>
          <w:webHidden/>
        </w:rPr>
        <w:fldChar w:fldCharType="separate"/>
      </w:r>
      <w:r>
        <w:rPr>
          <w:webHidden/>
        </w:rPr>
        <w:t>27</w:t>
      </w:r>
      <w:r>
        <w:rPr>
          <w:webHidden/>
        </w:rPr>
        <w:fldChar w:fldCharType="end"/>
      </w:r>
    </w:p>
    <w:p w14:paraId="40A267E2" w14:textId="5B14DF06" w:rsidR="00D16A9B" w:rsidRDefault="000D590C">
      <w:r>
        <w:fldChar w:fldCharType="end"/>
      </w:r>
    </w:p>
    <w:p w14:paraId="317816A7" w14:textId="77777777" w:rsidR="00BE01C1" w:rsidRDefault="00BE01C1">
      <w:pPr>
        <w:rPr>
          <w:i/>
        </w:rPr>
        <w:sectPr w:rsidR="00BE01C1" w:rsidSect="00206EB6">
          <w:headerReference w:type="even" r:id="rId14"/>
          <w:headerReference w:type="default" r:id="rId15"/>
          <w:footerReference w:type="even" r:id="rId16"/>
          <w:footerReference w:type="default" r:id="rId17"/>
          <w:footnotePr>
            <w:numFmt w:val="chicago"/>
          </w:footnotePr>
          <w:pgSz w:w="11909" w:h="16834" w:code="9"/>
          <w:pgMar w:top="1440" w:right="1440" w:bottom="1440" w:left="1440" w:header="720" w:footer="505" w:gutter="0"/>
          <w:pgNumType w:fmt="lowerRoman"/>
          <w:cols w:space="720"/>
          <w:docGrid w:linePitch="360"/>
        </w:sectPr>
      </w:pPr>
    </w:p>
    <w:p w14:paraId="17DD8EBE" w14:textId="62DB665B" w:rsidR="00860D61" w:rsidRPr="00206ABA" w:rsidRDefault="00860D61" w:rsidP="00860D61">
      <w:pPr>
        <w:pStyle w:val="Heading1a"/>
      </w:pPr>
      <w:bookmarkStart w:id="1" w:name="_Toc227554725"/>
      <w:bookmarkStart w:id="2" w:name="_Toc84363175"/>
      <w:r w:rsidRPr="00206ABA">
        <w:lastRenderedPageBreak/>
        <w:t>Acknowledg</w:t>
      </w:r>
      <w:r w:rsidR="00A243D3" w:rsidRPr="00206ABA">
        <w:t>e</w:t>
      </w:r>
      <w:r w:rsidRPr="00206ABA">
        <w:t>ments</w:t>
      </w:r>
      <w:bookmarkEnd w:id="1"/>
      <w:bookmarkEnd w:id="2"/>
    </w:p>
    <w:p w14:paraId="7FDC7942" w14:textId="4E883153" w:rsidR="00513687" w:rsidRPr="00206ABA" w:rsidRDefault="007D2C89" w:rsidP="00860D61">
      <w:bookmarkStart w:id="3" w:name="_Hlk85012224"/>
      <w:r w:rsidRPr="00206ABA">
        <w:t xml:space="preserve">Cancer Australia acknowledges the expertise of </w:t>
      </w:r>
      <w:r w:rsidR="00361443" w:rsidRPr="00206ABA">
        <w:t>Professor David Roder</w:t>
      </w:r>
      <w:r w:rsidR="00EA56CC" w:rsidRPr="00206ABA">
        <w:t xml:space="preserve"> </w:t>
      </w:r>
      <w:r w:rsidR="003665B5">
        <w:t>in his advice and guidance on Cancer Australia’s work in analysing the impact of COVID-19 on cancer-related services. Cancer Australia also acknowledges</w:t>
      </w:r>
      <w:r w:rsidR="003665B5" w:rsidRPr="00206ABA">
        <w:t xml:space="preserve"> </w:t>
      </w:r>
      <w:r w:rsidR="001412B0">
        <w:t>Ms</w:t>
      </w:r>
      <w:r w:rsidR="001412B0" w:rsidRPr="00206ABA">
        <w:t xml:space="preserve"> </w:t>
      </w:r>
      <w:r w:rsidR="00EA56CC" w:rsidRPr="00206ABA">
        <w:t>Anh-Minh Nguyen</w:t>
      </w:r>
      <w:r w:rsidRPr="00206ABA">
        <w:t xml:space="preserve"> </w:t>
      </w:r>
      <w:r w:rsidR="003665B5">
        <w:t xml:space="preserve">and the team </w:t>
      </w:r>
      <w:r w:rsidR="00554488">
        <w:t>from</w:t>
      </w:r>
      <w:r w:rsidR="00513687" w:rsidRPr="00206ABA">
        <w:t xml:space="preserve"> </w:t>
      </w:r>
      <w:r w:rsidRPr="00206ABA">
        <w:t xml:space="preserve">the Cancer Epidemiology </w:t>
      </w:r>
      <w:r w:rsidR="00513687" w:rsidRPr="00206ABA">
        <w:t>and</w:t>
      </w:r>
      <w:r w:rsidRPr="00206ABA">
        <w:t xml:space="preserve"> Population Health</w:t>
      </w:r>
      <w:r w:rsidR="0082635E" w:rsidRPr="00206ABA">
        <w:t xml:space="preserve"> Research Group</w:t>
      </w:r>
      <w:bookmarkEnd w:id="3"/>
      <w:r w:rsidRPr="00206ABA">
        <w:t>, University of South Australia</w:t>
      </w:r>
      <w:r w:rsidR="00513687" w:rsidRPr="00206ABA">
        <w:t xml:space="preserve"> in</w:t>
      </w:r>
      <w:r w:rsidR="003665B5">
        <w:t xml:space="preserve"> undertaking the analysis and </w:t>
      </w:r>
      <w:r w:rsidR="00513687" w:rsidRPr="00206ABA">
        <w:t>contributi</w:t>
      </w:r>
      <w:r w:rsidR="003665B5">
        <w:t>on</w:t>
      </w:r>
      <w:r w:rsidR="00513687" w:rsidRPr="00206ABA">
        <w:t xml:space="preserve"> to the</w:t>
      </w:r>
      <w:r w:rsidR="003665B5">
        <w:t xml:space="preserve"> </w:t>
      </w:r>
      <w:r w:rsidR="00513687" w:rsidRPr="00206ABA">
        <w:t xml:space="preserve">development of </w:t>
      </w:r>
      <w:r w:rsidR="003665B5">
        <w:t xml:space="preserve">the report, </w:t>
      </w:r>
      <w:r w:rsidR="00513687" w:rsidRPr="00206ABA">
        <w:rPr>
          <w:i/>
        </w:rPr>
        <w:t>The impact of COVID-19 on cancer-related medical services and procedures in Australia in 2020: Examination of MBS claims data for 2020, nationally and by jurisdiction</w:t>
      </w:r>
      <w:r w:rsidR="0082635E" w:rsidRPr="00206ABA">
        <w:t>.</w:t>
      </w:r>
      <w:r w:rsidRPr="00206ABA">
        <w:t xml:space="preserve"> </w:t>
      </w:r>
    </w:p>
    <w:p w14:paraId="6844FC3C" w14:textId="77777777" w:rsidR="00860D61" w:rsidRDefault="00860D61" w:rsidP="00860D61"/>
    <w:p w14:paraId="6709DE6E" w14:textId="77777777" w:rsidR="00D16A9B" w:rsidRDefault="00037B0D">
      <w:pPr>
        <w:pStyle w:val="Heading1a"/>
      </w:pPr>
      <w:bookmarkStart w:id="4" w:name="_Toc84363176"/>
      <w:r>
        <w:lastRenderedPageBreak/>
        <w:t>Key Findings</w:t>
      </w:r>
      <w:bookmarkEnd w:id="4"/>
    </w:p>
    <w:p w14:paraId="00A71308" w14:textId="77777777" w:rsidR="007F4E3A" w:rsidRPr="00255F55" w:rsidRDefault="007F4E3A" w:rsidP="00F17820">
      <w:pPr>
        <w:rPr>
          <w:szCs w:val="20"/>
        </w:rPr>
      </w:pPr>
      <w:r w:rsidRPr="00C836BF">
        <w:rPr>
          <w:szCs w:val="20"/>
        </w:rPr>
        <w:t>Substantial reductions in procedures relating to cancer</w:t>
      </w:r>
      <w:r>
        <w:rPr>
          <w:szCs w:val="20"/>
        </w:rPr>
        <w:t>-related</w:t>
      </w:r>
      <w:r w:rsidRPr="00C836BF">
        <w:rPr>
          <w:szCs w:val="20"/>
        </w:rPr>
        <w:t xml:space="preserve"> investigations and treatment </w:t>
      </w:r>
      <w:r>
        <w:rPr>
          <w:szCs w:val="20"/>
        </w:rPr>
        <w:t>were</w:t>
      </w:r>
      <w:r w:rsidRPr="00C836BF">
        <w:rPr>
          <w:szCs w:val="20"/>
        </w:rPr>
        <w:t xml:space="preserve"> reported </w:t>
      </w:r>
      <w:r>
        <w:rPr>
          <w:szCs w:val="20"/>
        </w:rPr>
        <w:t xml:space="preserve">in 2020 </w:t>
      </w:r>
      <w:r w:rsidRPr="00C836BF">
        <w:rPr>
          <w:szCs w:val="20"/>
        </w:rPr>
        <w:t xml:space="preserve">by service providers in Australia </w:t>
      </w:r>
      <w:r>
        <w:rPr>
          <w:szCs w:val="20"/>
        </w:rPr>
        <w:t xml:space="preserve">as a result of </w:t>
      </w:r>
      <w:r w:rsidRPr="00C836BF">
        <w:rPr>
          <w:szCs w:val="20"/>
        </w:rPr>
        <w:t>the COVID-19 pandemic.</w:t>
      </w:r>
      <w:r>
        <w:rPr>
          <w:szCs w:val="20"/>
        </w:rPr>
        <w:fldChar w:fldCharType="begin">
          <w:fldData xml:space="preserve">PEVuZE5vdGU+PENpdGU+PEF1dGhvcj5DYW5jZXIgQXVzdHJhbGlhPC9BdXRob3I+PFllYXI+MjAy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</w:fldData>
        </w:fldChar>
      </w:r>
      <w:r>
        <w:rPr>
          <w:szCs w:val="20"/>
        </w:rPr>
        <w:instrText xml:space="preserve"> ADDIN EN.CITE </w:instrText>
      </w:r>
      <w:r>
        <w:rPr>
          <w:szCs w:val="20"/>
        </w:rPr>
        <w:fldChar w:fldCharType="begin">
          <w:fldData xml:space="preserve">PEVuZE5vdGU+PENpdGU+PEF1dGhvcj5DYW5jZXIgQXVzdHJhbGlhPC9BdXRob3I+PFllYXI+MjAy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</w:fldData>
        </w:fldChar>
      </w:r>
      <w:r>
        <w:rPr>
          <w:szCs w:val="20"/>
        </w:rPr>
        <w:instrText xml:space="preserve"> ADDIN EN.CITE.DATA </w:instrText>
      </w:r>
      <w:r>
        <w:rPr>
          <w:szCs w:val="20"/>
        </w:rPr>
      </w:r>
      <w:r>
        <w:rPr>
          <w:szCs w:val="20"/>
        </w:rPr>
        <w:fldChar w:fldCharType="end"/>
      </w:r>
      <w:r>
        <w:rPr>
          <w:szCs w:val="20"/>
        </w:rPr>
      </w:r>
      <w:r>
        <w:rPr>
          <w:szCs w:val="20"/>
        </w:rPr>
        <w:fldChar w:fldCharType="separate"/>
      </w:r>
      <w:r w:rsidRPr="008C153C">
        <w:rPr>
          <w:noProof/>
          <w:szCs w:val="20"/>
          <w:vertAlign w:val="superscript"/>
        </w:rPr>
        <w:t>1-4</w:t>
      </w:r>
      <w:r>
        <w:rPr>
          <w:szCs w:val="20"/>
        </w:rPr>
        <w:fldChar w:fldCharType="end"/>
      </w:r>
      <w:r>
        <w:rPr>
          <w:szCs w:val="20"/>
        </w:rPr>
        <w:t xml:space="preserve"> </w:t>
      </w:r>
      <w:r w:rsidRPr="00255F55">
        <w:rPr>
          <w:szCs w:val="20"/>
        </w:rPr>
        <w:t xml:space="preserve">Medicare Benefits Schedule (MBS) claims data </w:t>
      </w:r>
      <w:r>
        <w:rPr>
          <w:szCs w:val="20"/>
        </w:rPr>
        <w:t xml:space="preserve">were examined for January to December 2020 </w:t>
      </w:r>
      <w:r w:rsidRPr="00D74430">
        <w:rPr>
          <w:szCs w:val="20"/>
        </w:rPr>
        <w:t xml:space="preserve">as </w:t>
      </w:r>
      <w:r>
        <w:rPr>
          <w:szCs w:val="20"/>
        </w:rPr>
        <w:t xml:space="preserve">a </w:t>
      </w:r>
      <w:r w:rsidRPr="00D74430">
        <w:rPr>
          <w:szCs w:val="20"/>
        </w:rPr>
        <w:t>marker of cancer control activit</w:t>
      </w:r>
      <w:r>
        <w:rPr>
          <w:szCs w:val="20"/>
        </w:rPr>
        <w:t>y</w:t>
      </w:r>
      <w:r w:rsidRPr="00255F55">
        <w:rPr>
          <w:szCs w:val="20"/>
        </w:rPr>
        <w:t xml:space="preserve"> to </w:t>
      </w:r>
      <w:r>
        <w:rPr>
          <w:szCs w:val="20"/>
        </w:rPr>
        <w:t xml:space="preserve">investigate the </w:t>
      </w:r>
      <w:r w:rsidRPr="00255F55">
        <w:rPr>
          <w:szCs w:val="20"/>
        </w:rPr>
        <w:t xml:space="preserve">impact of COVID-19 on </w:t>
      </w:r>
      <w:r>
        <w:rPr>
          <w:szCs w:val="20"/>
        </w:rPr>
        <w:t xml:space="preserve">cancer-related </w:t>
      </w:r>
      <w:r w:rsidRPr="00255F55">
        <w:rPr>
          <w:szCs w:val="20"/>
        </w:rPr>
        <w:t>medical services and procedures in Australia.</w:t>
      </w:r>
    </w:p>
    <w:p w14:paraId="2491D10E" w14:textId="77777777" w:rsidR="007F4E3A" w:rsidRPr="00255F55" w:rsidRDefault="007F4E3A" w:rsidP="00F17820">
      <w:pPr>
        <w:rPr>
          <w:szCs w:val="20"/>
        </w:rPr>
      </w:pPr>
      <w:r>
        <w:rPr>
          <w:szCs w:val="20"/>
        </w:rPr>
        <w:t xml:space="preserve">There were </w:t>
      </w:r>
      <w:r w:rsidRPr="00255F55">
        <w:rPr>
          <w:szCs w:val="20"/>
        </w:rPr>
        <w:t xml:space="preserve">reductions in the </w:t>
      </w:r>
      <w:r>
        <w:rPr>
          <w:szCs w:val="20"/>
        </w:rPr>
        <w:t xml:space="preserve">observed compared to expected </w:t>
      </w:r>
      <w:r w:rsidRPr="00255F55">
        <w:rPr>
          <w:szCs w:val="20"/>
        </w:rPr>
        <w:t xml:space="preserve">number of </w:t>
      </w:r>
      <w:r>
        <w:rPr>
          <w:szCs w:val="20"/>
        </w:rPr>
        <w:t xml:space="preserve">MBS </w:t>
      </w:r>
      <w:r w:rsidRPr="00255F55">
        <w:rPr>
          <w:szCs w:val="20"/>
        </w:rPr>
        <w:t xml:space="preserve">services in </w:t>
      </w:r>
      <w:r>
        <w:rPr>
          <w:szCs w:val="20"/>
        </w:rPr>
        <w:t xml:space="preserve">Australia in </w:t>
      </w:r>
      <w:r w:rsidRPr="00255F55">
        <w:rPr>
          <w:szCs w:val="20"/>
        </w:rPr>
        <w:t xml:space="preserve">2020 for diagnostic and therapeutic procedures related </w:t>
      </w:r>
      <w:r>
        <w:rPr>
          <w:szCs w:val="20"/>
        </w:rPr>
        <w:t xml:space="preserve">to the following </w:t>
      </w:r>
      <w:r w:rsidRPr="00255F55">
        <w:rPr>
          <w:szCs w:val="20"/>
        </w:rPr>
        <w:t>1</w:t>
      </w:r>
      <w:r>
        <w:rPr>
          <w:szCs w:val="20"/>
        </w:rPr>
        <w:t xml:space="preserve">4 </w:t>
      </w:r>
      <w:r w:rsidRPr="00255F55">
        <w:rPr>
          <w:szCs w:val="20"/>
        </w:rPr>
        <w:t>cancer types</w:t>
      </w:r>
      <w:r>
        <w:rPr>
          <w:szCs w:val="20"/>
        </w:rPr>
        <w:t xml:space="preserve">: </w:t>
      </w:r>
      <w:r w:rsidRPr="00255F55">
        <w:rPr>
          <w:szCs w:val="20"/>
        </w:rPr>
        <w:t>breast, colorectal, lung, prostate, melanoma of the skin,</w:t>
      </w:r>
      <w:r>
        <w:rPr>
          <w:szCs w:val="20"/>
        </w:rPr>
        <w:t xml:space="preserve"> </w:t>
      </w:r>
      <w:r w:rsidRPr="00255F55">
        <w:rPr>
          <w:szCs w:val="20"/>
        </w:rPr>
        <w:t>stomach, kidney, pancreatic, liver, uterine, ovarian, cervical, vaginal</w:t>
      </w:r>
      <w:r>
        <w:rPr>
          <w:szCs w:val="20"/>
        </w:rPr>
        <w:t xml:space="preserve">, and </w:t>
      </w:r>
      <w:r w:rsidRPr="00255F55">
        <w:rPr>
          <w:szCs w:val="20"/>
        </w:rPr>
        <w:t xml:space="preserve">vulval </w:t>
      </w:r>
      <w:r>
        <w:rPr>
          <w:szCs w:val="20"/>
        </w:rPr>
        <w:t>cancers</w:t>
      </w:r>
      <w:r w:rsidRPr="00255F55">
        <w:rPr>
          <w:szCs w:val="20"/>
        </w:rPr>
        <w:t>.</w:t>
      </w:r>
      <w:r>
        <w:rPr>
          <w:szCs w:val="20"/>
        </w:rPr>
        <w:t xml:space="preserve"> </w:t>
      </w:r>
    </w:p>
    <w:p w14:paraId="090DD3F1" w14:textId="77777777" w:rsidR="007F4E3A" w:rsidRPr="004573FB" w:rsidRDefault="007F4E3A" w:rsidP="00F17820">
      <w:pPr>
        <w:rPr>
          <w:szCs w:val="20"/>
        </w:rPr>
      </w:pPr>
      <w:r w:rsidRPr="004573FB">
        <w:rPr>
          <w:szCs w:val="20"/>
        </w:rPr>
        <w:t>When compared to the number of services expected, the sum of services examined across all cancer types observed nationally for 2020 for</w:t>
      </w:r>
      <w:r w:rsidRPr="00575AA0">
        <w:rPr>
          <w:szCs w:val="20"/>
        </w:rPr>
        <w:t xml:space="preserve"> selected </w:t>
      </w:r>
      <w:r>
        <w:rPr>
          <w:szCs w:val="20"/>
        </w:rPr>
        <w:t xml:space="preserve">cancer-related </w:t>
      </w:r>
      <w:r w:rsidRPr="00575AA0">
        <w:rPr>
          <w:bCs/>
          <w:szCs w:val="20"/>
        </w:rPr>
        <w:t>diagnostic procedures</w:t>
      </w:r>
      <w:r w:rsidRPr="00255F55">
        <w:rPr>
          <w:szCs w:val="20"/>
          <w:vertAlign w:val="superscript"/>
        </w:rPr>
        <w:footnoteReference w:id="2"/>
      </w:r>
      <w:r w:rsidRPr="00255F55">
        <w:rPr>
          <w:szCs w:val="20"/>
        </w:rPr>
        <w:t xml:space="preserve"> </w:t>
      </w:r>
      <w:r w:rsidRPr="004573FB">
        <w:rPr>
          <w:szCs w:val="20"/>
        </w:rPr>
        <w:t xml:space="preserve">was </w:t>
      </w:r>
      <w:r>
        <w:rPr>
          <w:szCs w:val="20"/>
        </w:rPr>
        <w:t>8</w:t>
      </w:r>
      <w:r w:rsidRPr="004573FB">
        <w:rPr>
          <w:szCs w:val="20"/>
        </w:rPr>
        <w:t xml:space="preserve">% lower </w:t>
      </w:r>
      <w:r>
        <w:rPr>
          <w:szCs w:val="20"/>
        </w:rPr>
        <w:t>(</w:t>
      </w:r>
      <w:r w:rsidRPr="003B3B20">
        <w:rPr>
          <w:szCs w:val="20"/>
        </w:rPr>
        <w:t xml:space="preserve">163,595 </w:t>
      </w:r>
      <w:r>
        <w:rPr>
          <w:szCs w:val="20"/>
        </w:rPr>
        <w:t xml:space="preserve">fewer services) </w:t>
      </w:r>
      <w:r w:rsidRPr="004573FB">
        <w:rPr>
          <w:szCs w:val="20"/>
        </w:rPr>
        <w:t xml:space="preserve">than expected. </w:t>
      </w:r>
    </w:p>
    <w:p w14:paraId="728878F6" w14:textId="77777777" w:rsidR="007F4E3A" w:rsidRPr="00575AA0" w:rsidRDefault="007F4E3A" w:rsidP="00F17820">
      <w:pPr>
        <w:rPr>
          <w:szCs w:val="20"/>
        </w:rPr>
      </w:pPr>
      <w:r w:rsidRPr="00575AA0">
        <w:rPr>
          <w:szCs w:val="20"/>
        </w:rPr>
        <w:t>The impact varied by cancer type with the observed number of services</w:t>
      </w:r>
      <w:r>
        <w:rPr>
          <w:szCs w:val="20"/>
        </w:rPr>
        <w:t xml:space="preserve"> in 2020</w:t>
      </w:r>
      <w:r w:rsidRPr="00575AA0">
        <w:rPr>
          <w:szCs w:val="20"/>
        </w:rPr>
        <w:t>:</w:t>
      </w:r>
    </w:p>
    <w:p w14:paraId="78956498" w14:textId="77777777" w:rsidR="007F4E3A" w:rsidRPr="00255F55" w:rsidRDefault="007F4E3A" w:rsidP="00F17820">
      <w:pPr>
        <w:numPr>
          <w:ilvl w:val="0"/>
          <w:numId w:val="4"/>
        </w:numPr>
        <w:ind w:left="714" w:hanging="357"/>
        <w:rPr>
          <w:szCs w:val="20"/>
        </w:rPr>
      </w:pPr>
      <w:r w:rsidRPr="00255F55">
        <w:rPr>
          <w:szCs w:val="20"/>
        </w:rPr>
        <w:t xml:space="preserve">at least 5% </w:t>
      </w:r>
      <w:r w:rsidRPr="00F17820">
        <w:rPr>
          <w:szCs w:val="20"/>
        </w:rPr>
        <w:t>lower</w:t>
      </w:r>
      <w:r w:rsidRPr="00255F55">
        <w:rPr>
          <w:szCs w:val="20"/>
        </w:rPr>
        <w:t xml:space="preserve"> than expected for colorectal </w:t>
      </w:r>
      <w:r>
        <w:rPr>
          <w:szCs w:val="20"/>
        </w:rPr>
        <w:t xml:space="preserve">cancer </w:t>
      </w:r>
      <w:r w:rsidRPr="00255F55">
        <w:rPr>
          <w:szCs w:val="20"/>
        </w:rPr>
        <w:t xml:space="preserve">(13% </w:t>
      </w:r>
      <w:r>
        <w:rPr>
          <w:szCs w:val="20"/>
        </w:rPr>
        <w:t>lower;</w:t>
      </w:r>
      <w:r w:rsidRPr="00255F55">
        <w:rPr>
          <w:szCs w:val="20"/>
        </w:rPr>
        <w:t xml:space="preserve"> 87,293 fewer services)</w:t>
      </w:r>
      <w:r>
        <w:rPr>
          <w:szCs w:val="20"/>
        </w:rPr>
        <w:t>,</w:t>
      </w:r>
      <w:r w:rsidRPr="00255F55">
        <w:rPr>
          <w:szCs w:val="20"/>
        </w:rPr>
        <w:t xml:space="preserve"> liver </w:t>
      </w:r>
      <w:r>
        <w:rPr>
          <w:szCs w:val="20"/>
        </w:rPr>
        <w:t xml:space="preserve">cancer </w:t>
      </w:r>
      <w:r w:rsidRPr="00255F55">
        <w:rPr>
          <w:szCs w:val="20"/>
        </w:rPr>
        <w:t>(12%</w:t>
      </w:r>
      <w:r>
        <w:rPr>
          <w:szCs w:val="20"/>
        </w:rPr>
        <w:t xml:space="preserve"> lower;</w:t>
      </w:r>
      <w:r w:rsidRPr="00255F55">
        <w:rPr>
          <w:szCs w:val="20"/>
        </w:rPr>
        <w:t xml:space="preserve"> 488 fewer services)</w:t>
      </w:r>
      <w:r>
        <w:rPr>
          <w:szCs w:val="20"/>
        </w:rPr>
        <w:t>,</w:t>
      </w:r>
      <w:r w:rsidRPr="00255F55">
        <w:rPr>
          <w:szCs w:val="20"/>
        </w:rPr>
        <w:t xml:space="preserve"> lung</w:t>
      </w:r>
      <w:r>
        <w:rPr>
          <w:szCs w:val="20"/>
        </w:rPr>
        <w:t xml:space="preserve"> cancer</w:t>
      </w:r>
      <w:r w:rsidRPr="00255F55">
        <w:rPr>
          <w:szCs w:val="20"/>
        </w:rPr>
        <w:t xml:space="preserve"> (9% </w:t>
      </w:r>
      <w:r>
        <w:rPr>
          <w:szCs w:val="20"/>
        </w:rPr>
        <w:t xml:space="preserve">lower; </w:t>
      </w:r>
      <w:r w:rsidRPr="00255F55">
        <w:rPr>
          <w:szCs w:val="20"/>
        </w:rPr>
        <w:t>3,884 fewer services)</w:t>
      </w:r>
      <w:r>
        <w:rPr>
          <w:szCs w:val="20"/>
        </w:rPr>
        <w:t>,</w:t>
      </w:r>
      <w:r w:rsidRPr="00255F55">
        <w:rPr>
          <w:szCs w:val="20"/>
        </w:rPr>
        <w:t xml:space="preserve"> prostate</w:t>
      </w:r>
      <w:r>
        <w:rPr>
          <w:szCs w:val="20"/>
        </w:rPr>
        <w:t xml:space="preserve"> cancer</w:t>
      </w:r>
      <w:r w:rsidRPr="00255F55">
        <w:rPr>
          <w:szCs w:val="20"/>
        </w:rPr>
        <w:t xml:space="preserve"> (7% </w:t>
      </w:r>
      <w:r>
        <w:rPr>
          <w:szCs w:val="20"/>
        </w:rPr>
        <w:t>lower;</w:t>
      </w:r>
      <w:r w:rsidRPr="00255F55">
        <w:rPr>
          <w:szCs w:val="20"/>
        </w:rPr>
        <w:t xml:space="preserve"> 50,618 fewer services)</w:t>
      </w:r>
      <w:r>
        <w:rPr>
          <w:szCs w:val="20"/>
        </w:rPr>
        <w:t>,</w:t>
      </w:r>
      <w:r w:rsidRPr="00255F55">
        <w:rPr>
          <w:szCs w:val="20"/>
        </w:rPr>
        <w:t xml:space="preserve"> and</w:t>
      </w:r>
      <w:r>
        <w:rPr>
          <w:szCs w:val="20"/>
        </w:rPr>
        <w:t xml:space="preserve"> stomach and </w:t>
      </w:r>
      <w:r w:rsidRPr="00255F55">
        <w:rPr>
          <w:szCs w:val="20"/>
        </w:rPr>
        <w:t xml:space="preserve">pancreatic </w:t>
      </w:r>
      <w:r>
        <w:rPr>
          <w:szCs w:val="20"/>
        </w:rPr>
        <w:t>cancers combined</w:t>
      </w:r>
      <w:r w:rsidRPr="00F17820">
        <w:rPr>
          <w:vertAlign w:val="superscript"/>
        </w:rPr>
        <w:footnoteReference w:id="3"/>
      </w:r>
      <w:r w:rsidRPr="00F17820">
        <w:rPr>
          <w:szCs w:val="20"/>
          <w:vertAlign w:val="superscript"/>
        </w:rPr>
        <w:t xml:space="preserve"> </w:t>
      </w:r>
      <w:r w:rsidRPr="00255F55">
        <w:rPr>
          <w:szCs w:val="20"/>
        </w:rPr>
        <w:t>(6%</w:t>
      </w:r>
      <w:r>
        <w:rPr>
          <w:szCs w:val="20"/>
        </w:rPr>
        <w:t xml:space="preserve"> lower;</w:t>
      </w:r>
      <w:r w:rsidRPr="00255F55">
        <w:rPr>
          <w:szCs w:val="20"/>
        </w:rPr>
        <w:t xml:space="preserve"> 8</w:t>
      </w:r>
      <w:r>
        <w:rPr>
          <w:szCs w:val="20"/>
        </w:rPr>
        <w:t>70</w:t>
      </w:r>
      <w:r w:rsidRPr="00255F55">
        <w:rPr>
          <w:szCs w:val="20"/>
        </w:rPr>
        <w:t xml:space="preserve"> fewer services). </w:t>
      </w:r>
    </w:p>
    <w:p w14:paraId="1641211E" w14:textId="77777777" w:rsidR="007F4E3A" w:rsidRPr="00255F55" w:rsidRDefault="007F4E3A" w:rsidP="00F17820">
      <w:pPr>
        <w:numPr>
          <w:ilvl w:val="0"/>
          <w:numId w:val="4"/>
        </w:numPr>
        <w:ind w:left="714" w:hanging="357"/>
        <w:rPr>
          <w:szCs w:val="20"/>
        </w:rPr>
      </w:pPr>
      <w:r w:rsidRPr="00255F55">
        <w:rPr>
          <w:szCs w:val="20"/>
        </w:rPr>
        <w:t xml:space="preserve">similar to expected </w:t>
      </w:r>
      <w:r w:rsidRPr="0071104E">
        <w:rPr>
          <w:szCs w:val="20"/>
        </w:rPr>
        <w:t>(</w:t>
      </w:r>
      <w:r>
        <w:rPr>
          <w:szCs w:val="20"/>
        </w:rPr>
        <w:t xml:space="preserve">i.e. </w:t>
      </w:r>
      <w:r w:rsidRPr="0071104E">
        <w:rPr>
          <w:szCs w:val="20"/>
        </w:rPr>
        <w:t xml:space="preserve">less than 5% difference) </w:t>
      </w:r>
      <w:r w:rsidRPr="00255F55">
        <w:rPr>
          <w:szCs w:val="20"/>
        </w:rPr>
        <w:t xml:space="preserve">for breast cancer (4% </w:t>
      </w:r>
      <w:r>
        <w:rPr>
          <w:szCs w:val="20"/>
        </w:rPr>
        <w:t>lower;</w:t>
      </w:r>
      <w:r w:rsidRPr="00255F55">
        <w:rPr>
          <w:szCs w:val="20"/>
        </w:rPr>
        <w:t xml:space="preserve"> 20,672 fewer services) and </w:t>
      </w:r>
      <w:r>
        <w:rPr>
          <w:szCs w:val="20"/>
        </w:rPr>
        <w:t xml:space="preserve">uterine </w:t>
      </w:r>
      <w:r w:rsidRPr="00255F55">
        <w:rPr>
          <w:szCs w:val="20"/>
        </w:rPr>
        <w:t>cancer (2%</w:t>
      </w:r>
      <w:r>
        <w:rPr>
          <w:szCs w:val="20"/>
        </w:rPr>
        <w:t xml:space="preserve"> higher;</w:t>
      </w:r>
      <w:r w:rsidRPr="00255F55">
        <w:rPr>
          <w:szCs w:val="20"/>
        </w:rPr>
        <w:t xml:space="preserve"> 144 </w:t>
      </w:r>
      <w:r>
        <w:rPr>
          <w:szCs w:val="20"/>
        </w:rPr>
        <w:t>more</w:t>
      </w:r>
      <w:r w:rsidRPr="00255F55">
        <w:rPr>
          <w:szCs w:val="20"/>
        </w:rPr>
        <w:t xml:space="preserve"> services). </w:t>
      </w:r>
    </w:p>
    <w:p w14:paraId="5BA04627" w14:textId="77777777" w:rsidR="007F4E3A" w:rsidRDefault="007F4E3A" w:rsidP="00F17820">
      <w:pPr>
        <w:numPr>
          <w:ilvl w:val="0"/>
          <w:numId w:val="4"/>
        </w:numPr>
        <w:spacing w:line="360" w:lineRule="auto"/>
        <w:ind w:left="714" w:hanging="357"/>
        <w:rPr>
          <w:szCs w:val="20"/>
        </w:rPr>
      </w:pPr>
      <w:r w:rsidRPr="00255F55">
        <w:rPr>
          <w:szCs w:val="20"/>
        </w:rPr>
        <w:t xml:space="preserve">higher than expected for kidney </w:t>
      </w:r>
      <w:r>
        <w:rPr>
          <w:szCs w:val="20"/>
        </w:rPr>
        <w:t xml:space="preserve">cancer </w:t>
      </w:r>
      <w:r w:rsidRPr="00255F55">
        <w:rPr>
          <w:szCs w:val="20"/>
        </w:rPr>
        <w:t xml:space="preserve">(5% </w:t>
      </w:r>
      <w:r>
        <w:rPr>
          <w:szCs w:val="20"/>
        </w:rPr>
        <w:t>higher;</w:t>
      </w:r>
      <w:r w:rsidRPr="00255F55">
        <w:rPr>
          <w:szCs w:val="20"/>
        </w:rPr>
        <w:t xml:space="preserve"> 86 </w:t>
      </w:r>
      <w:r>
        <w:rPr>
          <w:szCs w:val="20"/>
        </w:rPr>
        <w:t>more</w:t>
      </w:r>
      <w:r w:rsidRPr="00255F55">
        <w:rPr>
          <w:szCs w:val="20"/>
        </w:rPr>
        <w:t xml:space="preserve"> services).</w:t>
      </w:r>
    </w:p>
    <w:p w14:paraId="35D15E03" w14:textId="77777777" w:rsidR="007F4E3A" w:rsidRPr="004573FB" w:rsidRDefault="007F4E3A" w:rsidP="00F17820">
      <w:pPr>
        <w:rPr>
          <w:szCs w:val="20"/>
        </w:rPr>
      </w:pPr>
      <w:r w:rsidRPr="004573FB">
        <w:rPr>
          <w:szCs w:val="20"/>
        </w:rPr>
        <w:t>When compared to the number of services expected, the sum of services examined across all cancer types observed nationally for 2020 for selected cancer-</w:t>
      </w:r>
      <w:r w:rsidRPr="00A93A02">
        <w:rPr>
          <w:szCs w:val="20"/>
        </w:rPr>
        <w:t>related surgical and non-surgical therapeutic procedures was 9% lower (14,600 fewer services) than exp</w:t>
      </w:r>
      <w:r w:rsidRPr="004573FB">
        <w:rPr>
          <w:szCs w:val="20"/>
        </w:rPr>
        <w:t xml:space="preserve">ected. </w:t>
      </w:r>
    </w:p>
    <w:p w14:paraId="3C10661E" w14:textId="77777777" w:rsidR="007F4E3A" w:rsidRPr="00BD747A" w:rsidRDefault="007F4E3A" w:rsidP="00F17820">
      <w:pPr>
        <w:rPr>
          <w:szCs w:val="20"/>
        </w:rPr>
      </w:pPr>
      <w:r w:rsidRPr="00BD747A">
        <w:rPr>
          <w:szCs w:val="20"/>
        </w:rPr>
        <w:t>The impact varied by cancer type with the observed number of services</w:t>
      </w:r>
      <w:r>
        <w:rPr>
          <w:szCs w:val="20"/>
        </w:rPr>
        <w:t xml:space="preserve"> in 2020</w:t>
      </w:r>
      <w:r w:rsidRPr="00BD747A">
        <w:rPr>
          <w:szCs w:val="20"/>
        </w:rPr>
        <w:t>:</w:t>
      </w:r>
    </w:p>
    <w:p w14:paraId="5C2A5C3F" w14:textId="77777777" w:rsidR="007F4E3A" w:rsidRPr="005102C9" w:rsidRDefault="007F4E3A" w:rsidP="00F17820">
      <w:pPr>
        <w:numPr>
          <w:ilvl w:val="0"/>
          <w:numId w:val="4"/>
        </w:numPr>
        <w:ind w:left="714" w:hanging="357"/>
        <w:rPr>
          <w:szCs w:val="20"/>
        </w:rPr>
      </w:pPr>
      <w:r w:rsidRPr="005102C9">
        <w:rPr>
          <w:szCs w:val="20"/>
        </w:rPr>
        <w:t>at least 5% lower than expected for</w:t>
      </w:r>
      <w:r>
        <w:rPr>
          <w:szCs w:val="20"/>
        </w:rPr>
        <w:t xml:space="preserve"> </w:t>
      </w:r>
      <w:r w:rsidRPr="005102C9">
        <w:rPr>
          <w:szCs w:val="20"/>
        </w:rPr>
        <w:t xml:space="preserve">breast cancer </w:t>
      </w:r>
      <w:r w:rsidRPr="00A93A02">
        <w:rPr>
          <w:szCs w:val="20"/>
        </w:rPr>
        <w:t>(6% lower; 1,001</w:t>
      </w:r>
      <w:r w:rsidRPr="005102C9">
        <w:rPr>
          <w:szCs w:val="20"/>
        </w:rPr>
        <w:t xml:space="preserve"> fewer services)</w:t>
      </w:r>
      <w:r>
        <w:rPr>
          <w:szCs w:val="20"/>
        </w:rPr>
        <w:t>,</w:t>
      </w:r>
      <w:r w:rsidRPr="005102C9">
        <w:rPr>
          <w:szCs w:val="20"/>
        </w:rPr>
        <w:t xml:space="preserve"> melanoma skin cancers</w:t>
      </w:r>
      <w:r w:rsidRPr="00FB6609">
        <w:rPr>
          <w:rStyle w:val="FootnoteReference"/>
          <w:szCs w:val="20"/>
        </w:rPr>
        <w:footnoteReference w:id="4"/>
      </w:r>
      <w:r w:rsidRPr="005102C9">
        <w:rPr>
          <w:szCs w:val="20"/>
        </w:rPr>
        <w:t xml:space="preserve"> (14%</w:t>
      </w:r>
      <w:r>
        <w:rPr>
          <w:szCs w:val="20"/>
        </w:rPr>
        <w:t xml:space="preserve"> lower; </w:t>
      </w:r>
      <w:r w:rsidRPr="005102C9">
        <w:rPr>
          <w:szCs w:val="20"/>
        </w:rPr>
        <w:t>11,245 fewer services)</w:t>
      </w:r>
      <w:r>
        <w:rPr>
          <w:szCs w:val="20"/>
        </w:rPr>
        <w:t>,</w:t>
      </w:r>
      <w:r w:rsidRPr="005102C9">
        <w:rPr>
          <w:szCs w:val="20"/>
        </w:rPr>
        <w:t xml:space="preserve"> pancreatic cancer (7%</w:t>
      </w:r>
      <w:r>
        <w:rPr>
          <w:szCs w:val="20"/>
        </w:rPr>
        <w:t xml:space="preserve"> lower; </w:t>
      </w:r>
      <w:r w:rsidRPr="005102C9">
        <w:rPr>
          <w:szCs w:val="20"/>
        </w:rPr>
        <w:t>352 fewer services)</w:t>
      </w:r>
      <w:r>
        <w:rPr>
          <w:szCs w:val="20"/>
        </w:rPr>
        <w:t>,</w:t>
      </w:r>
      <w:r w:rsidRPr="005102C9">
        <w:rPr>
          <w:szCs w:val="20"/>
        </w:rPr>
        <w:t xml:space="preserve"> and gynaecological cancers</w:t>
      </w:r>
      <w:r>
        <w:rPr>
          <w:szCs w:val="20"/>
        </w:rPr>
        <w:t>, cervical, ovarian, uterine, vaginal, and vulval combined</w:t>
      </w:r>
      <w:r w:rsidRPr="005102C9">
        <w:rPr>
          <w:szCs w:val="20"/>
        </w:rPr>
        <w:t xml:space="preserve"> (8%</w:t>
      </w:r>
      <w:r>
        <w:rPr>
          <w:szCs w:val="20"/>
        </w:rPr>
        <w:t xml:space="preserve"> lower; </w:t>
      </w:r>
      <w:r w:rsidRPr="005102C9">
        <w:rPr>
          <w:szCs w:val="20"/>
        </w:rPr>
        <w:t>1,37</w:t>
      </w:r>
      <w:r>
        <w:rPr>
          <w:szCs w:val="20"/>
        </w:rPr>
        <w:t>2</w:t>
      </w:r>
      <w:r w:rsidRPr="005102C9">
        <w:rPr>
          <w:szCs w:val="20"/>
        </w:rPr>
        <w:t xml:space="preserve"> fewer services)</w:t>
      </w:r>
      <w:r>
        <w:rPr>
          <w:szCs w:val="20"/>
        </w:rPr>
        <w:t>.</w:t>
      </w:r>
    </w:p>
    <w:p w14:paraId="6021C470" w14:textId="77777777" w:rsidR="007F4E3A" w:rsidRDefault="007F4E3A" w:rsidP="00F17820">
      <w:pPr>
        <w:numPr>
          <w:ilvl w:val="0"/>
          <w:numId w:val="4"/>
        </w:numPr>
        <w:ind w:left="714" w:hanging="357"/>
        <w:rPr>
          <w:szCs w:val="20"/>
        </w:rPr>
      </w:pPr>
      <w:r w:rsidRPr="005102C9">
        <w:rPr>
          <w:szCs w:val="20"/>
        </w:rPr>
        <w:t xml:space="preserve">similar to </w:t>
      </w:r>
      <w:r>
        <w:rPr>
          <w:szCs w:val="20"/>
        </w:rPr>
        <w:t xml:space="preserve">that </w:t>
      </w:r>
      <w:r w:rsidRPr="005102C9">
        <w:rPr>
          <w:szCs w:val="20"/>
        </w:rPr>
        <w:t>expected</w:t>
      </w:r>
      <w:r>
        <w:rPr>
          <w:szCs w:val="20"/>
        </w:rPr>
        <w:t xml:space="preserve"> i.e. </w:t>
      </w:r>
      <w:r w:rsidRPr="0071104E">
        <w:rPr>
          <w:szCs w:val="20"/>
        </w:rPr>
        <w:t xml:space="preserve">less than 5% difference </w:t>
      </w:r>
      <w:r w:rsidRPr="005102C9">
        <w:rPr>
          <w:szCs w:val="20"/>
        </w:rPr>
        <w:t>for lung cancer</w:t>
      </w:r>
      <w:r>
        <w:rPr>
          <w:szCs w:val="20"/>
        </w:rPr>
        <w:t xml:space="preserve"> (2% higher; 68 more services),</w:t>
      </w:r>
      <w:r w:rsidRPr="005102C9">
        <w:rPr>
          <w:szCs w:val="20"/>
        </w:rPr>
        <w:t xml:space="preserve"> liver cancer</w:t>
      </w:r>
      <w:r>
        <w:rPr>
          <w:szCs w:val="20"/>
        </w:rPr>
        <w:t xml:space="preserve"> (4% higher; 53 more services),</w:t>
      </w:r>
      <w:r w:rsidRPr="005102C9">
        <w:rPr>
          <w:szCs w:val="20"/>
        </w:rPr>
        <w:t xml:space="preserve"> prostate cancer</w:t>
      </w:r>
      <w:r>
        <w:rPr>
          <w:szCs w:val="20"/>
        </w:rPr>
        <w:t xml:space="preserve"> (2% lower; 536 fewer services), </w:t>
      </w:r>
      <w:r w:rsidRPr="005102C9">
        <w:rPr>
          <w:szCs w:val="20"/>
        </w:rPr>
        <w:t>kidney cancer</w:t>
      </w:r>
      <w:r>
        <w:rPr>
          <w:szCs w:val="20"/>
        </w:rPr>
        <w:t xml:space="preserve"> (3% lower; 67 fewer services),</w:t>
      </w:r>
      <w:r w:rsidRPr="005102C9">
        <w:rPr>
          <w:szCs w:val="20"/>
        </w:rPr>
        <w:t xml:space="preserve"> stomach cancer </w:t>
      </w:r>
      <w:r>
        <w:rPr>
          <w:szCs w:val="20"/>
        </w:rPr>
        <w:t xml:space="preserve">(1% higher; 5 more services), </w:t>
      </w:r>
      <w:r w:rsidRPr="005102C9">
        <w:rPr>
          <w:szCs w:val="20"/>
        </w:rPr>
        <w:t>and colorectal cancer</w:t>
      </w:r>
      <w:r>
        <w:rPr>
          <w:szCs w:val="20"/>
        </w:rPr>
        <w:t xml:space="preserve"> (1% lower; 151 fewer services)</w:t>
      </w:r>
      <w:r w:rsidRPr="005102C9">
        <w:rPr>
          <w:szCs w:val="20"/>
        </w:rPr>
        <w:t xml:space="preserve">. </w:t>
      </w:r>
    </w:p>
    <w:p w14:paraId="0A79D794" w14:textId="77777777" w:rsidR="007F4E3A" w:rsidRDefault="007F4E3A" w:rsidP="00F17820">
      <w:pPr>
        <w:rPr>
          <w:szCs w:val="20"/>
        </w:rPr>
      </w:pPr>
      <w:r w:rsidRPr="00F860AE">
        <w:rPr>
          <w:szCs w:val="20"/>
        </w:rPr>
        <w:lastRenderedPageBreak/>
        <w:t xml:space="preserve">Similar patterns of </w:t>
      </w:r>
      <w:r>
        <w:rPr>
          <w:szCs w:val="20"/>
        </w:rPr>
        <w:t>differences</w:t>
      </w:r>
      <w:r w:rsidRPr="00F860AE">
        <w:rPr>
          <w:szCs w:val="20"/>
        </w:rPr>
        <w:t xml:space="preserve"> </w:t>
      </w:r>
      <w:r>
        <w:rPr>
          <w:szCs w:val="20"/>
        </w:rPr>
        <w:t xml:space="preserve">between observed and expected services </w:t>
      </w:r>
      <w:r w:rsidRPr="00F860AE">
        <w:rPr>
          <w:szCs w:val="20"/>
        </w:rPr>
        <w:t xml:space="preserve">were </w:t>
      </w:r>
      <w:r>
        <w:rPr>
          <w:szCs w:val="20"/>
        </w:rPr>
        <w:t xml:space="preserve">generally </w:t>
      </w:r>
      <w:r w:rsidRPr="00F860AE">
        <w:rPr>
          <w:szCs w:val="20"/>
        </w:rPr>
        <w:t xml:space="preserve">observed across </w:t>
      </w:r>
      <w:r>
        <w:rPr>
          <w:szCs w:val="20"/>
        </w:rPr>
        <w:t>the</w:t>
      </w:r>
      <w:r w:rsidRPr="00F860AE">
        <w:rPr>
          <w:szCs w:val="20"/>
        </w:rPr>
        <w:t xml:space="preserve"> states and territories</w:t>
      </w:r>
      <w:r>
        <w:rPr>
          <w:szCs w:val="20"/>
        </w:rPr>
        <w:t xml:space="preserve"> for each cancer type</w:t>
      </w:r>
      <w:r w:rsidRPr="00D26497">
        <w:rPr>
          <w:szCs w:val="20"/>
        </w:rPr>
        <w:t xml:space="preserve">, </w:t>
      </w:r>
      <w:r>
        <w:rPr>
          <w:szCs w:val="20"/>
        </w:rPr>
        <w:t xml:space="preserve">although </w:t>
      </w:r>
      <w:r w:rsidRPr="00D26497">
        <w:rPr>
          <w:szCs w:val="20"/>
        </w:rPr>
        <w:t>with some variation by jurisdiction.</w:t>
      </w:r>
    </w:p>
    <w:p w14:paraId="7F5008E7" w14:textId="77777777" w:rsidR="007F4E3A" w:rsidRPr="005A4A67" w:rsidRDefault="007F4E3A" w:rsidP="00F17820">
      <w:pPr>
        <w:rPr>
          <w:szCs w:val="20"/>
        </w:rPr>
      </w:pPr>
      <w:r>
        <w:rPr>
          <w:szCs w:val="20"/>
        </w:rPr>
        <w:t xml:space="preserve">Similar patterns to those observed nationally were observed when examined by </w:t>
      </w:r>
      <w:r w:rsidRPr="00F15748">
        <w:rPr>
          <w:szCs w:val="20"/>
        </w:rPr>
        <w:t>age</w:t>
      </w:r>
      <w:r>
        <w:rPr>
          <w:szCs w:val="20"/>
        </w:rPr>
        <w:t>,</w:t>
      </w:r>
      <w:r w:rsidRPr="00F15748">
        <w:rPr>
          <w:szCs w:val="20"/>
        </w:rPr>
        <w:t xml:space="preserve"> sex</w:t>
      </w:r>
      <w:r>
        <w:rPr>
          <w:szCs w:val="20"/>
        </w:rPr>
        <w:t>,</w:t>
      </w:r>
      <w:r w:rsidRPr="00F15748">
        <w:rPr>
          <w:szCs w:val="20"/>
        </w:rPr>
        <w:t xml:space="preserve"> remoteness</w:t>
      </w:r>
      <w:r>
        <w:rPr>
          <w:szCs w:val="20"/>
        </w:rPr>
        <w:t xml:space="preserve"> of residence, and s</w:t>
      </w:r>
      <w:r w:rsidRPr="00F15748">
        <w:rPr>
          <w:szCs w:val="20"/>
        </w:rPr>
        <w:t>ocioeconomic status</w:t>
      </w:r>
      <w:r w:rsidRPr="00D272FF">
        <w:rPr>
          <w:szCs w:val="20"/>
        </w:rPr>
        <w:t xml:space="preserve"> </w:t>
      </w:r>
      <w:r>
        <w:rPr>
          <w:szCs w:val="20"/>
        </w:rPr>
        <w:t xml:space="preserve">areas. No notable differences were observed between subgroups within each of these sociodemographic groups. </w:t>
      </w:r>
    </w:p>
    <w:p w14:paraId="3C727257" w14:textId="77777777" w:rsidR="007F4E3A" w:rsidRPr="006E7475" w:rsidRDefault="007F4E3A" w:rsidP="00F17820">
      <w:pPr>
        <w:rPr>
          <w:szCs w:val="20"/>
        </w:rPr>
      </w:pPr>
      <w:r w:rsidRPr="006E7475">
        <w:rPr>
          <w:szCs w:val="20"/>
        </w:rPr>
        <w:t xml:space="preserve">Although </w:t>
      </w:r>
      <w:r>
        <w:rPr>
          <w:szCs w:val="20"/>
        </w:rPr>
        <w:t xml:space="preserve">differences between the observed and expected number of </w:t>
      </w:r>
      <w:r w:rsidRPr="006E7475">
        <w:rPr>
          <w:szCs w:val="20"/>
        </w:rPr>
        <w:t xml:space="preserve">MBS </w:t>
      </w:r>
      <w:r>
        <w:rPr>
          <w:szCs w:val="20"/>
        </w:rPr>
        <w:t xml:space="preserve">claims for diagnostic and therapeutic cancer-related services for a number of cancers in Australia in 2020 may be </w:t>
      </w:r>
      <w:r w:rsidRPr="006E7475">
        <w:rPr>
          <w:szCs w:val="20"/>
        </w:rPr>
        <w:t>due to factors other than COVID-19, it is plausible that COVID-19 played an important role</w:t>
      </w:r>
      <w:r>
        <w:rPr>
          <w:szCs w:val="20"/>
        </w:rPr>
        <w:t>.</w:t>
      </w:r>
    </w:p>
    <w:p w14:paraId="0D994727" w14:textId="77777777" w:rsidR="00794433" w:rsidRDefault="007F4E3A" w:rsidP="00F17820">
      <w:r w:rsidRPr="004037DE">
        <w:rPr>
          <w:szCs w:val="20"/>
        </w:rPr>
        <w:t>Any potential delays in diagnoses and treatment in response to these reductions in services may lead to more cancer</w:t>
      </w:r>
      <w:r>
        <w:rPr>
          <w:szCs w:val="20"/>
        </w:rPr>
        <w:t xml:space="preserve">s being </w:t>
      </w:r>
      <w:r w:rsidRPr="004037DE">
        <w:rPr>
          <w:szCs w:val="20"/>
        </w:rPr>
        <w:t>diagnos</w:t>
      </w:r>
      <w:r>
        <w:rPr>
          <w:szCs w:val="20"/>
        </w:rPr>
        <w:t>ed at a later stage</w:t>
      </w:r>
      <w:r w:rsidRPr="004037DE">
        <w:rPr>
          <w:szCs w:val="20"/>
        </w:rPr>
        <w:t xml:space="preserve"> and poorer patient outcomes.</w:t>
      </w:r>
    </w:p>
    <w:p w14:paraId="06CBF1C0" w14:textId="08FCA73A" w:rsidR="00875A48" w:rsidRPr="00875A48" w:rsidRDefault="00875A48" w:rsidP="00875A48">
      <w:pPr>
        <w:rPr>
          <w:szCs w:val="21"/>
        </w:rPr>
      </w:pPr>
      <w:r w:rsidRPr="00875A48">
        <w:rPr>
          <w:szCs w:val="21"/>
        </w:rPr>
        <w:t xml:space="preserve"> </w:t>
      </w:r>
    </w:p>
    <w:p w14:paraId="5906095F" w14:textId="77777777" w:rsidR="003C09BC" w:rsidRDefault="00875A48" w:rsidP="003C09BC">
      <w:pPr>
        <w:rPr>
          <w:szCs w:val="21"/>
        </w:rPr>
      </w:pPr>
      <w:r w:rsidRPr="00875A48" w:rsidDel="009E779B">
        <w:rPr>
          <w:szCs w:val="21"/>
        </w:rPr>
        <w:t xml:space="preserve"> </w:t>
      </w:r>
    </w:p>
    <w:p w14:paraId="57A26B4F" w14:textId="77777777" w:rsidR="00D16A9B" w:rsidRDefault="00D16A9B">
      <w:pPr>
        <w:sectPr w:rsidR="00D16A9B" w:rsidSect="009A5F1A">
          <w:footnotePr>
            <w:numFmt w:val="chicago"/>
          </w:footnotePr>
          <w:pgSz w:w="11909" w:h="16834" w:code="9"/>
          <w:pgMar w:top="1440" w:right="1440" w:bottom="1440" w:left="1440" w:header="720" w:footer="505" w:gutter="0"/>
          <w:pgNumType w:fmt="lowerRoman"/>
          <w:cols w:space="720"/>
          <w:docGrid w:linePitch="360"/>
        </w:sectPr>
      </w:pPr>
    </w:p>
    <w:p w14:paraId="5FA81ADC" w14:textId="77777777" w:rsidR="002F66DF" w:rsidRDefault="002F66DF" w:rsidP="002F66DF">
      <w:pPr>
        <w:pStyle w:val="Heading1"/>
      </w:pPr>
      <w:bookmarkStart w:id="5" w:name="_Toc84363177"/>
      <w:r>
        <w:lastRenderedPageBreak/>
        <w:t>Approach</w:t>
      </w:r>
      <w:bookmarkEnd w:id="5"/>
      <w:r>
        <w:t xml:space="preserve"> </w:t>
      </w:r>
    </w:p>
    <w:p w14:paraId="4F1B4C01" w14:textId="77777777" w:rsidR="002F66DF" w:rsidRPr="00D9022E" w:rsidDel="00167359" w:rsidRDefault="002F66DF" w:rsidP="002F66DF">
      <w:pPr>
        <w:rPr>
          <w:szCs w:val="21"/>
        </w:rPr>
      </w:pPr>
      <w:r w:rsidRPr="00D9022E">
        <w:rPr>
          <w:szCs w:val="21"/>
        </w:rPr>
        <w:t>Substantial reductions in procedures relating to cancer-related investigations and treatment were reported in 2020 by service providers in Australia as a result of the COVID-19 pandemic.</w:t>
      </w:r>
      <w:r w:rsidRPr="00D9022E">
        <w:rPr>
          <w:szCs w:val="21"/>
        </w:rPr>
        <w:fldChar w:fldCharType="begin">
          <w:fldData xml:space="preserve">PEVuZE5vdGU+PENpdGU+PEF1dGhvcj5DYW5jZXIgQXVzdHJhbGlhPC9BdXRob3I+PFllYXI+MjAy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</w:fldData>
        </w:fldChar>
      </w:r>
      <w:r w:rsidRPr="00D9022E">
        <w:rPr>
          <w:szCs w:val="21"/>
        </w:rPr>
        <w:instrText xml:space="preserve"> ADDIN EN.CITE </w:instrText>
      </w:r>
      <w:r w:rsidRPr="00D9022E">
        <w:rPr>
          <w:szCs w:val="21"/>
        </w:rPr>
        <w:fldChar w:fldCharType="begin">
          <w:fldData xml:space="preserve">PEVuZE5vdGU+PENpdGU+PEF1dGhvcj5DYW5jZXIgQXVzdHJhbGlhPC9BdXRob3I+PFllYXI+MjAy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</w:fldData>
        </w:fldChar>
      </w:r>
      <w:r w:rsidRPr="00D9022E">
        <w:rPr>
          <w:szCs w:val="21"/>
        </w:rPr>
        <w:instrText xml:space="preserve"> ADDIN EN.CITE.DATA </w:instrText>
      </w:r>
      <w:r w:rsidRPr="00D9022E">
        <w:rPr>
          <w:szCs w:val="21"/>
        </w:rPr>
      </w:r>
      <w:r w:rsidRPr="00D9022E">
        <w:rPr>
          <w:szCs w:val="21"/>
        </w:rPr>
        <w:fldChar w:fldCharType="end"/>
      </w:r>
      <w:r w:rsidRPr="00D9022E">
        <w:rPr>
          <w:szCs w:val="21"/>
        </w:rPr>
      </w:r>
      <w:r w:rsidRPr="00D9022E">
        <w:rPr>
          <w:szCs w:val="21"/>
        </w:rPr>
        <w:fldChar w:fldCharType="separate"/>
      </w:r>
      <w:r w:rsidRPr="00D9022E">
        <w:rPr>
          <w:szCs w:val="21"/>
          <w:vertAlign w:val="superscript"/>
        </w:rPr>
        <w:t>1-4</w:t>
      </w:r>
      <w:r w:rsidRPr="00D9022E">
        <w:rPr>
          <w:szCs w:val="21"/>
        </w:rPr>
        <w:fldChar w:fldCharType="end"/>
      </w:r>
      <w:r w:rsidRPr="00D9022E">
        <w:rPr>
          <w:szCs w:val="21"/>
        </w:rPr>
        <w:t xml:space="preserve"> </w:t>
      </w:r>
      <w:r w:rsidRPr="00D9022E" w:rsidDel="00167359">
        <w:rPr>
          <w:szCs w:val="21"/>
        </w:rPr>
        <w:t>Any potential delays in diagnoses and treatment in response to these reductions in services may lead to more advanced stage of cancer at diagnosis and poorer patient outcomes.</w:t>
      </w:r>
      <w:r w:rsidRPr="00D9022E">
        <w:rPr>
          <w:szCs w:val="21"/>
        </w:rPr>
        <w:fldChar w:fldCharType="begin">
          <w:fldData xml:space="preserve">PEVuZE5vdGU+PENpdGU+PEF1dGhvcj5EZWdlbGluZzwvQXV0aG9yPjxZZWFyPjIwMjE8L1llYXI+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</w:fldData>
        </w:fldChar>
      </w:r>
      <w:r w:rsidRPr="00D9022E">
        <w:rPr>
          <w:szCs w:val="21"/>
        </w:rPr>
        <w:instrText xml:space="preserve"> ADDIN EN.CITE </w:instrText>
      </w:r>
      <w:r w:rsidRPr="00D9022E">
        <w:rPr>
          <w:szCs w:val="21"/>
        </w:rPr>
        <w:fldChar w:fldCharType="begin">
          <w:fldData xml:space="preserve">PEVuZE5vdGU+PENpdGU+PEF1dGhvcj5EZWdlbGluZzwvQXV0aG9yPjxZZWFyPjIwMjE8L1llYXI+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</w:fldData>
        </w:fldChar>
      </w:r>
      <w:r w:rsidRPr="00D9022E">
        <w:rPr>
          <w:szCs w:val="21"/>
        </w:rPr>
        <w:instrText xml:space="preserve"> ADDIN EN.CITE.DATA </w:instrText>
      </w:r>
      <w:r w:rsidRPr="00D9022E">
        <w:rPr>
          <w:szCs w:val="21"/>
        </w:rPr>
      </w:r>
      <w:r w:rsidRPr="00D9022E">
        <w:rPr>
          <w:szCs w:val="21"/>
        </w:rPr>
        <w:fldChar w:fldCharType="end"/>
      </w:r>
      <w:r w:rsidRPr="00D9022E">
        <w:rPr>
          <w:szCs w:val="21"/>
        </w:rPr>
      </w:r>
      <w:r w:rsidRPr="00D9022E">
        <w:rPr>
          <w:szCs w:val="21"/>
        </w:rPr>
        <w:fldChar w:fldCharType="separate"/>
      </w:r>
      <w:r w:rsidRPr="00D9022E">
        <w:rPr>
          <w:szCs w:val="21"/>
          <w:vertAlign w:val="superscript"/>
        </w:rPr>
        <w:t>5</w:t>
      </w:r>
      <w:r w:rsidRPr="00D9022E">
        <w:rPr>
          <w:szCs w:val="21"/>
        </w:rPr>
        <w:fldChar w:fldCharType="end"/>
      </w:r>
      <w:r w:rsidRPr="00D9022E" w:rsidDel="00167359">
        <w:rPr>
          <w:szCs w:val="21"/>
        </w:rPr>
        <w:t xml:space="preserve"> </w:t>
      </w:r>
    </w:p>
    <w:p w14:paraId="653F9349" w14:textId="599E7E4E" w:rsidR="002F66DF" w:rsidRPr="00D9022E" w:rsidRDefault="002F66DF" w:rsidP="002F66DF">
      <w:pPr>
        <w:rPr>
          <w:szCs w:val="21"/>
        </w:rPr>
      </w:pPr>
      <w:r w:rsidRPr="00D9022E">
        <w:rPr>
          <w:szCs w:val="21"/>
        </w:rPr>
        <w:t>The extent of these impacts were previously examined by Cancer Australia for the top five incident cancers – breast, colorectal, lung, prostate and skin cancer – through analysis of Medicare Benefits Schedule (MBS) claims data for cancer-related medical services and procedures in Australia.</w:t>
      </w:r>
      <w:r w:rsidRPr="00D9022E">
        <w:rPr>
          <w:szCs w:val="21"/>
        </w:rPr>
        <w:fldChar w:fldCharType="begin">
          <w:fldData xml:space="preserve">PEVuZE5vdGU+PENpdGU+PEF1dGhvcj5DYW5jZXIgQXVzdHJhbGlhPC9BdXRob3I+PFllYXI+MjAy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</w:fldData>
        </w:fldChar>
      </w:r>
      <w:r w:rsidRPr="00D9022E">
        <w:rPr>
          <w:szCs w:val="21"/>
        </w:rPr>
        <w:instrText xml:space="preserve"> ADDIN EN.CITE </w:instrText>
      </w:r>
      <w:r w:rsidRPr="00D9022E">
        <w:rPr>
          <w:szCs w:val="21"/>
        </w:rPr>
        <w:fldChar w:fldCharType="begin">
          <w:fldData xml:space="preserve">PEVuZE5vdGU+PENpdGU+PEF1dGhvcj5DYW5jZXIgQXVzdHJhbGlhPC9BdXRob3I+PFllYXI+MjAy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</w:fldData>
        </w:fldChar>
      </w:r>
      <w:r w:rsidRPr="00D9022E">
        <w:rPr>
          <w:szCs w:val="21"/>
        </w:rPr>
        <w:instrText xml:space="preserve"> ADDIN EN.CITE.DATA </w:instrText>
      </w:r>
      <w:r w:rsidRPr="00D9022E">
        <w:rPr>
          <w:szCs w:val="21"/>
        </w:rPr>
      </w:r>
      <w:r w:rsidRPr="00D9022E">
        <w:rPr>
          <w:szCs w:val="21"/>
        </w:rPr>
        <w:fldChar w:fldCharType="end"/>
      </w:r>
      <w:r w:rsidRPr="00D9022E">
        <w:rPr>
          <w:szCs w:val="21"/>
        </w:rPr>
      </w:r>
      <w:r w:rsidRPr="00D9022E">
        <w:rPr>
          <w:szCs w:val="21"/>
        </w:rPr>
        <w:fldChar w:fldCharType="separate"/>
      </w:r>
      <w:r w:rsidRPr="00D9022E">
        <w:rPr>
          <w:szCs w:val="21"/>
          <w:vertAlign w:val="superscript"/>
        </w:rPr>
        <w:t>1-3, 6, 7</w:t>
      </w:r>
      <w:r w:rsidRPr="00D9022E">
        <w:rPr>
          <w:szCs w:val="21"/>
        </w:rPr>
        <w:fldChar w:fldCharType="end"/>
      </w:r>
      <w:r w:rsidRPr="00D9022E">
        <w:rPr>
          <w:szCs w:val="21"/>
        </w:rPr>
        <w:t xml:space="preserve"> Service providers claim reimbursement using MBS item codes for various services, including professional attendances and procedures, and these were used as a proxy measure for estimating the impact on cancer-related diagnostic and surgical and non-surgical therapeutic services across the health system. </w:t>
      </w:r>
      <w:r w:rsidR="006112D0">
        <w:rPr>
          <w:szCs w:val="21"/>
        </w:rPr>
        <w:t>T</w:t>
      </w:r>
      <w:r w:rsidR="006112D0" w:rsidRPr="006112D0">
        <w:rPr>
          <w:szCs w:val="21"/>
        </w:rPr>
        <w:t xml:space="preserve">he MBS data that provided the basis of the report applies to health services provided to the Australian public in non-inpatient settings, private outpatient clinics and to private inpatients of public and private hospitals.  They do not include services provided by hospital doctors to public patients in public hospitals or services that qualify for a benefit under the Department of Veterans' Affairs National Treatment Account. </w:t>
      </w:r>
      <w:r w:rsidRPr="00D9022E">
        <w:rPr>
          <w:szCs w:val="21"/>
        </w:rPr>
        <w:t xml:space="preserve"> </w:t>
      </w:r>
    </w:p>
    <w:p w14:paraId="530237F4" w14:textId="77777777" w:rsidR="002F66DF" w:rsidRPr="00D9022E" w:rsidRDefault="002F66DF" w:rsidP="002F66DF">
      <w:pPr>
        <w:rPr>
          <w:szCs w:val="21"/>
        </w:rPr>
      </w:pPr>
      <w:bookmarkStart w:id="6" w:name="_Hlk55540290"/>
      <w:r w:rsidRPr="00D9022E">
        <w:rPr>
          <w:szCs w:val="21"/>
        </w:rPr>
        <w:t>Cancer Australia’s previous analyses of MBS data for the first three quarters of 2020 showed notable reductions in the number of services claimed for a range of diagnostic and surgical and non-surgical therapeutic procedures for the five highest incidence cancers. These reductions occurred during the initial COVID-19 period between March and May 2020, with many service types showing partial or full recovery in the monthly number of services by September 2020.</w:t>
      </w:r>
      <w:r w:rsidRPr="00D9022E">
        <w:rPr>
          <w:szCs w:val="21"/>
        </w:rPr>
        <w:fldChar w:fldCharType="begin">
          <w:fldData xml:space="preserve">PEVuZE5vdGU+PENpdGU+PEF1dGhvcj5DYW5jZXIgQXVzdHJhbGlhPC9BdXRob3I+PFllYXI+MjAy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</w:fldData>
        </w:fldChar>
      </w:r>
      <w:r w:rsidRPr="00D9022E">
        <w:rPr>
          <w:szCs w:val="21"/>
        </w:rPr>
        <w:instrText xml:space="preserve"> ADDIN EN.CITE </w:instrText>
      </w:r>
      <w:r w:rsidRPr="00D9022E">
        <w:rPr>
          <w:szCs w:val="21"/>
        </w:rPr>
        <w:fldChar w:fldCharType="begin">
          <w:fldData xml:space="preserve">PEVuZE5vdGU+PENpdGU+PEF1dGhvcj5DYW5jZXIgQXVzdHJhbGlhPC9BdXRob3I+PFllYXI+MjAy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</w:fldData>
        </w:fldChar>
      </w:r>
      <w:r w:rsidRPr="00D9022E">
        <w:rPr>
          <w:szCs w:val="21"/>
        </w:rPr>
        <w:instrText xml:space="preserve"> ADDIN EN.CITE.DATA </w:instrText>
      </w:r>
      <w:r w:rsidRPr="00D9022E">
        <w:rPr>
          <w:szCs w:val="21"/>
        </w:rPr>
      </w:r>
      <w:r w:rsidRPr="00D9022E">
        <w:rPr>
          <w:szCs w:val="21"/>
        </w:rPr>
        <w:fldChar w:fldCharType="end"/>
      </w:r>
      <w:r w:rsidRPr="00D9022E">
        <w:rPr>
          <w:szCs w:val="21"/>
        </w:rPr>
      </w:r>
      <w:r w:rsidRPr="00D9022E">
        <w:rPr>
          <w:szCs w:val="21"/>
        </w:rPr>
        <w:fldChar w:fldCharType="separate"/>
      </w:r>
      <w:r w:rsidRPr="00D9022E">
        <w:rPr>
          <w:szCs w:val="21"/>
          <w:vertAlign w:val="superscript"/>
        </w:rPr>
        <w:t>3, 6, 7</w:t>
      </w:r>
      <w:r w:rsidRPr="00D9022E">
        <w:rPr>
          <w:szCs w:val="21"/>
        </w:rPr>
        <w:fldChar w:fldCharType="end"/>
      </w:r>
      <w:r w:rsidRPr="00D9022E">
        <w:rPr>
          <w:szCs w:val="21"/>
        </w:rPr>
        <w:t xml:space="preserve"> </w:t>
      </w:r>
    </w:p>
    <w:p w14:paraId="17295CB7" w14:textId="77777777" w:rsidR="002F66DF" w:rsidRPr="00D9022E" w:rsidRDefault="002F66DF" w:rsidP="002F66DF">
      <w:pPr>
        <w:rPr>
          <w:szCs w:val="21"/>
        </w:rPr>
      </w:pPr>
      <w:r w:rsidRPr="00D9022E">
        <w:rPr>
          <w:szCs w:val="21"/>
        </w:rPr>
        <w:t>This report builds on the previous analyses by examining the cumulative number of services observed for January to December 2020</w:t>
      </w:r>
      <w:r w:rsidRPr="00D9022E">
        <w:rPr>
          <w:szCs w:val="21"/>
          <w:vertAlign w:val="superscript"/>
        </w:rPr>
        <w:footnoteReference w:id="5"/>
      </w:r>
      <w:r w:rsidRPr="00D9022E">
        <w:rPr>
          <w:szCs w:val="21"/>
        </w:rPr>
        <w:t>, compared to the expected number of services expected from trends in historical numbers for the period 2017–2019. As with Cancer Australia’s previous analyses, MBS data were examined for services related to the highest incidence cancers (breast, colorectal, lung, melanoma of the skin and prostate cancers). In addition, cancer-related diagnostic and surgical and non-surgical therapeutic procedures were identified and data examined for cervical, kidney, liver, pancreatic, ovarian, stomach, uterine, vaginal, and vulval cancers. Non-surgical procedures may include radiotherapy for some cancers including both external beam radiotherapy (EBRT) delivery via linear accelerators (LINAC) and brachytherapy, however, monitoring of changes to EBRT LINAC delivery is outside the scope of this report</w:t>
      </w:r>
      <w:r w:rsidRPr="00D9022E">
        <w:rPr>
          <w:szCs w:val="21"/>
          <w:vertAlign w:val="superscript"/>
        </w:rPr>
        <w:footnoteReference w:id="6"/>
      </w:r>
      <w:r w:rsidRPr="00D9022E">
        <w:rPr>
          <w:szCs w:val="21"/>
        </w:rPr>
        <w:t xml:space="preserve">.  </w:t>
      </w:r>
    </w:p>
    <w:p w14:paraId="28D6A07D" w14:textId="77777777" w:rsidR="002F66DF" w:rsidRPr="00D9022E" w:rsidRDefault="002F66DF" w:rsidP="002F66DF">
      <w:pPr>
        <w:rPr>
          <w:szCs w:val="21"/>
        </w:rPr>
      </w:pPr>
      <w:r w:rsidRPr="00D9022E">
        <w:rPr>
          <w:szCs w:val="21"/>
        </w:rPr>
        <w:t xml:space="preserve">In some cases, procedures may relate to more than one cancer type. Where necessary cancer groupings were applied for ease of presentation and analysis of the data. Accordingly, identified MBS diagnostic procedures for stomach cancer and pancreatic cancer overlap in </w:t>
      </w:r>
      <w:r w:rsidRPr="00D9022E">
        <w:rPr>
          <w:szCs w:val="21"/>
        </w:rPr>
        <w:lastRenderedPageBreak/>
        <w:t>their specificity and these data are presented together in the grouping ‘stomach and pancreatic cancer’</w:t>
      </w:r>
      <w:r w:rsidRPr="00D9022E">
        <w:rPr>
          <w:szCs w:val="21"/>
          <w:vertAlign w:val="superscript"/>
        </w:rPr>
        <w:footnoteReference w:id="7"/>
      </w:r>
      <w:r w:rsidRPr="00D9022E">
        <w:rPr>
          <w:szCs w:val="21"/>
        </w:rPr>
        <w:t>. Surgical and non-surgical therapeutic procedures data for cervical, ovarian, uterine, vaginal, and vulval cancers also overlap to some degree and are presented as the grouping ‘gynaecological cancers’.</w:t>
      </w:r>
    </w:p>
    <w:p w14:paraId="4CD7A43D" w14:textId="77777777" w:rsidR="002F66DF" w:rsidRDefault="002F66DF" w:rsidP="002F66DF">
      <w:pPr>
        <w:rPr>
          <w:szCs w:val="21"/>
        </w:rPr>
      </w:pPr>
      <w:r w:rsidRPr="00D9022E">
        <w:rPr>
          <w:szCs w:val="21"/>
        </w:rPr>
        <w:t xml:space="preserve">The number of services for each of the cancer types were examined for two high-level categories: diagnostic procedures and therapeutic procedures. </w:t>
      </w:r>
      <w:bookmarkEnd w:id="6"/>
      <w:r w:rsidRPr="00D9022E">
        <w:rPr>
          <w:szCs w:val="21"/>
        </w:rPr>
        <w:t>Analyses focused on MBS claims data for diagnostic and therapeutic procedures known to be related to malignancies/ cancer and for the management of pre-cancerous conditions.</w:t>
      </w:r>
      <w:r w:rsidRPr="00D9022E">
        <w:rPr>
          <w:szCs w:val="21"/>
        </w:rPr>
        <w:fldChar w:fldCharType="begin"/>
      </w:r>
      <w:r w:rsidRPr="00D9022E">
        <w:rPr>
          <w:szCs w:val="21"/>
        </w:rPr>
        <w:instrText xml:space="preserve"> ADDIN EN.CITE &lt;EndNote&gt;&lt;Cite&gt;&lt;Author&gt;Department of Health&lt;/Author&gt;&lt;Year&gt;2020&lt;/Year&gt;&lt;RecNum&gt;8&lt;/RecNum&gt;&lt;DisplayText&gt;&lt;style face="superscript"&gt;6, 7&lt;/style&gt;&lt;/DisplayText&gt;&lt;record&gt;&lt;rec-number&gt;8&lt;/rec-number&gt;&lt;foreign-keys&gt;&lt;key app="EN" db-id="rz202aawgezwf6ers99pd5p4rdfzffp9z2fz" timestamp="1629769773"&gt;8&lt;/key&gt;&lt;/foreign-keys&gt;&lt;ref-type name="Online Database"&gt;45&lt;/ref-type&gt;&lt;contributors&gt;&lt;authors&gt;&lt;author&gt;Department of Health,&lt;/author&gt;&lt;/authors&gt;&lt;/contributors&gt;&lt;titles&gt;&lt;title&gt;MBS online&lt;/title&gt;&lt;/titles&gt;&lt;dates&gt;&lt;year&gt;2020&lt;/year&gt;&lt;pub-dates&gt;&lt;date&gt;16 March 2020&lt;/date&gt;&lt;/pub-dates&gt;&lt;/dates&gt;&lt;pub-location&gt;Canberra&lt;/pub-location&gt;&lt;publisher&gt;Australian Government Department of Health,&lt;/publisher&gt;&lt;urls&gt;&lt;related-urls&gt;&lt;url&gt;http://www9.health.gov.au/mbs/search.cfm&lt;/url&gt;&lt;/related-urls&gt;&lt;/urls&gt;&lt;/record&gt;&lt;/Cite&gt;&lt;Cite&gt;&lt;Author&gt;Services Australia&lt;/Author&gt;&lt;Year&gt;2021&lt;/Year&gt;&lt;RecNum&gt;7&lt;/RecNum&gt;&lt;record&gt;&lt;rec-number&gt;7&lt;/rec-number&gt;&lt;foreign-keys&gt;&lt;key app="EN" db-id="rz202aawgezwf6ers99pd5p4rdfzffp9z2fz" timestamp="1629769493"&gt;7&lt;/key&gt;&lt;/foreign-keys&gt;&lt;ref-type name="Online Database"&gt;45&lt;/ref-type&gt;&lt;contributors&gt;&lt;authors&gt;&lt;author&gt;Services Australia,&lt;/author&gt;&lt;/authors&gt;&lt;/contributors&gt;&lt;titles&gt;&lt;title&gt;Medicare item reports&lt;/title&gt;&lt;/titles&gt;&lt;dates&gt;&lt;year&gt;2021&lt;/year&gt;&lt;pub-dates&gt;&lt;date&gt;13 May 2021&lt;/date&gt;&lt;/pub-dates&gt;&lt;/dates&gt;&lt;urls&gt;&lt;related-urls&gt;&lt;url&gt;http://medicarestatistics.humanservices.gov.au/statistics/mbs_item.jsp&lt;/url&gt;&lt;/related-urls&gt;&lt;/urls&gt;&lt;/record&gt;&lt;/Cite&gt;&lt;/EndNote&gt;</w:instrText>
      </w:r>
      <w:r w:rsidRPr="00D9022E">
        <w:rPr>
          <w:szCs w:val="21"/>
        </w:rPr>
        <w:fldChar w:fldCharType="separate"/>
      </w:r>
      <w:r w:rsidRPr="00D9022E">
        <w:rPr>
          <w:szCs w:val="21"/>
          <w:vertAlign w:val="superscript"/>
        </w:rPr>
        <w:t>6, 7</w:t>
      </w:r>
      <w:r w:rsidRPr="00D9022E">
        <w:rPr>
          <w:szCs w:val="21"/>
        </w:rPr>
        <w:fldChar w:fldCharType="end"/>
      </w:r>
      <w:r w:rsidRPr="00D9022E">
        <w:rPr>
          <w:szCs w:val="21"/>
        </w:rPr>
        <w:t xml:space="preserve"> MBS data for screening procedures for cancers of the breast, bowel, and cervix, and complementary services undertaken within the public sector, were not included in these analyses.</w:t>
      </w:r>
    </w:p>
    <w:p w14:paraId="07C4A748" w14:textId="77777777" w:rsidR="002F66DF" w:rsidRDefault="002F66DF" w:rsidP="002F66DF">
      <w:pPr>
        <w:pStyle w:val="Heading1"/>
      </w:pPr>
      <w:bookmarkStart w:id="7" w:name="_Toc84363178"/>
      <w:r>
        <w:lastRenderedPageBreak/>
        <w:t>Methodology</w:t>
      </w:r>
      <w:bookmarkEnd w:id="7"/>
      <w:r>
        <w:t xml:space="preserve"> </w:t>
      </w:r>
    </w:p>
    <w:p w14:paraId="1E5236F2" w14:textId="77777777" w:rsidR="002F66DF" w:rsidRPr="00875A48" w:rsidRDefault="002F66DF" w:rsidP="002F66DF">
      <w:pPr>
        <w:rPr>
          <w:szCs w:val="21"/>
        </w:rPr>
      </w:pPr>
      <w:r w:rsidRPr="00875A48">
        <w:rPr>
          <w:szCs w:val="21"/>
        </w:rPr>
        <w:t>The MBS items included in these analyses were selected as markers of cancer control activity during the COVID-19 pandemic.</w:t>
      </w:r>
    </w:p>
    <w:p w14:paraId="5312A7D2" w14:textId="77777777" w:rsidR="002F66DF" w:rsidRPr="00875A48" w:rsidRDefault="002F66DF" w:rsidP="002F66DF">
      <w:pPr>
        <w:rPr>
          <w:szCs w:val="21"/>
        </w:rPr>
      </w:pPr>
      <w:r w:rsidRPr="00875A48">
        <w:rPr>
          <w:szCs w:val="21"/>
        </w:rPr>
        <w:t>Services were selected for each of the cancer types for two high-level categories: diagnostic procedures and surgical and non-surgical therapeutic procedures. The MBS data analysed in this report do not include screening mammograms for breast cancer, faecal occult blood test (FOBT) screening for colorectal cancer, or human papillomavirus (HPV) cervical screening tests for cervical cancer or complementary diagnostic and treatment services undertaken within the public sector.</w:t>
      </w:r>
    </w:p>
    <w:p w14:paraId="0DBD0F30" w14:textId="77777777" w:rsidR="002F66DF" w:rsidRPr="00875A48" w:rsidRDefault="002F66DF" w:rsidP="002F66DF">
      <w:pPr>
        <w:rPr>
          <w:szCs w:val="21"/>
        </w:rPr>
      </w:pPr>
      <w:r w:rsidRPr="00875A48">
        <w:rPr>
          <w:szCs w:val="21"/>
        </w:rPr>
        <w:t xml:space="preserve">Analyses focused on MBS claims data for procedures known to be related to specified cancer types, suspected malignancies/ cancer or management of pre-cancerous conditions in consultation with cancer registry and specialist clinician expertise in the relevant cancer field. As principal diagnoses are not routinely recorded alongside MBS claims, clinical judgement was required for this process including weighing the likely sensitivity and specificity of an MBS item relating to a particular cancer type. </w:t>
      </w:r>
    </w:p>
    <w:p w14:paraId="28FC6D7F" w14:textId="77777777" w:rsidR="002F66DF" w:rsidRPr="00875A48" w:rsidRDefault="002F66DF" w:rsidP="002F66DF">
      <w:pPr>
        <w:rPr>
          <w:szCs w:val="21"/>
        </w:rPr>
      </w:pPr>
      <w:r w:rsidRPr="00875A48">
        <w:rPr>
          <w:szCs w:val="21"/>
        </w:rPr>
        <w:t xml:space="preserve">The numbers of claims in 2020 for these cancer-related services were compared with the expected number of services for 2020, derived by linear projection of trends in claims across 2017-2019. To be eligible, claims for respective MBS items needed to have consistent scope and criteria for use from 2017 so that expected values for 2020 could be projected using the same procedure codes. In some instances, where the criteria for making claims had changed from 2017-2018, numbers of claims for 2019 were used as the expected values. This applied to a minority of MBS items which have been identified in Appendix A alongside respective Observed/Expected (O/E) ratios. To accommodate annual growth, wherever feasible, linear projections of annual claims across 2017-2019 were the preferred approach for calculating expected values for 2020. </w:t>
      </w:r>
    </w:p>
    <w:p w14:paraId="7701586E" w14:textId="77777777" w:rsidR="002F66DF" w:rsidRPr="00875A48" w:rsidRDefault="002F66DF" w:rsidP="002F66DF">
      <w:pPr>
        <w:rPr>
          <w:szCs w:val="21"/>
        </w:rPr>
      </w:pPr>
      <w:r w:rsidRPr="00875A48">
        <w:rPr>
          <w:szCs w:val="21"/>
        </w:rPr>
        <w:t>For reporting of changes in the number of services, a difference threshold of 5 or more percentage points was used to describe changes in the observed number of services provided nationally in 2020 compared to the expected number of services (Refer to Tables 1 &amp; 2).</w:t>
      </w:r>
    </w:p>
    <w:p w14:paraId="09AA761D" w14:textId="77777777" w:rsidR="002F66DF" w:rsidRPr="00875A48" w:rsidRDefault="002F66DF" w:rsidP="002F66DF">
      <w:pPr>
        <w:rPr>
          <w:szCs w:val="21"/>
        </w:rPr>
      </w:pPr>
      <w:r w:rsidRPr="00875A48">
        <w:rPr>
          <w:szCs w:val="21"/>
        </w:rPr>
        <w:t xml:space="preserve">For some procedures, the number of services for some states and territories were provided as aggregated data through the Medicare Statistics online portal, with the following groupings: New South Wales and the Australian Capital Territory (NSW/ACT); Victoria and Tasmania (VIC/TAS); and South Australia and the Northern Territory (SA/NT). For consistency throughout the report, data for these states and territories are grouped for all of the procedures examined when presented as jurisdictional breakdowns for each category. </w:t>
      </w:r>
    </w:p>
    <w:p w14:paraId="7A916A00" w14:textId="77777777" w:rsidR="002F66DF" w:rsidRPr="002F66DF" w:rsidRDefault="002F66DF" w:rsidP="002F66DF">
      <w:pPr>
        <w:rPr>
          <w:szCs w:val="32"/>
        </w:rPr>
      </w:pPr>
      <w:r w:rsidRPr="00875A48">
        <w:rPr>
          <w:szCs w:val="21"/>
        </w:rPr>
        <w:t>Aggregate data for procedure groupings within the diagnostic and therapeutic categories for the cancer types analysed were examined for sociodemographic factors including age, sex, remoteness of residence, and socioeconomic status areas. No notable differences between population subgroups were observed.</w:t>
      </w:r>
    </w:p>
    <w:p w14:paraId="0CFBA1D3" w14:textId="611EEDB0" w:rsidR="00D16A9B" w:rsidRDefault="00BB091E" w:rsidP="002F66DF">
      <w:pPr>
        <w:pStyle w:val="Heading1"/>
      </w:pPr>
      <w:bookmarkStart w:id="8" w:name="_Toc84363179"/>
      <w:r>
        <w:lastRenderedPageBreak/>
        <w:t>Diagnostic procedures</w:t>
      </w:r>
      <w:bookmarkEnd w:id="8"/>
      <w:r w:rsidR="00A036E1">
        <w:t xml:space="preserve"> </w:t>
      </w:r>
    </w:p>
    <w:p w14:paraId="2C7BD340" w14:textId="3E2C9293" w:rsidR="00BB091E" w:rsidRDefault="00AF6449" w:rsidP="00BB091E">
      <w:r w:rsidRPr="00AF6449">
        <w:t>The observed number of services for the selected diagnostic procedures</w:t>
      </w:r>
      <w:r w:rsidRPr="00AF6449">
        <w:rPr>
          <w:vertAlign w:val="superscript"/>
        </w:rPr>
        <w:footnoteReference w:id="8"/>
      </w:r>
      <w:r w:rsidRPr="00AF6449">
        <w:t xml:space="preserve"> in 2020 for all cancer types examined was 8% lower than the expected number of services based on analysis of data over the period 2017−2019 (</w:t>
      </w:r>
      <w:r w:rsidRPr="00AF6449">
        <w:fldChar w:fldCharType="begin"/>
      </w:r>
      <w:r w:rsidRPr="00AF6449">
        <w:instrText xml:space="preserve"> REF _Ref79599482 \h  \* MERGEFORMAT </w:instrText>
      </w:r>
      <w:r w:rsidRPr="00AF6449">
        <w:fldChar w:fldCharType="separate"/>
      </w:r>
      <w:r w:rsidR="00533EE6" w:rsidRPr="00411626">
        <w:t xml:space="preserve">Table </w:t>
      </w:r>
      <w:r w:rsidR="00533EE6">
        <w:t>1</w:t>
      </w:r>
      <w:r w:rsidRPr="00AF6449">
        <w:fldChar w:fldCharType="end"/>
      </w:r>
      <w:r w:rsidRPr="00AF6449">
        <w:t xml:space="preserve">, below). </w:t>
      </w:r>
      <w:r w:rsidR="00BB091E" w:rsidRPr="00BB091E">
        <w:t xml:space="preserve"> </w:t>
      </w:r>
    </w:p>
    <w:p w14:paraId="25640F8D" w14:textId="2DF1D39B" w:rsidR="002546DF" w:rsidRPr="00411626" w:rsidRDefault="002546DF" w:rsidP="009850D3">
      <w:pPr>
        <w:pStyle w:val="TableName"/>
      </w:pPr>
      <w:bookmarkStart w:id="9" w:name="_Ref79599482"/>
      <w:bookmarkStart w:id="10" w:name="_Ref79622162"/>
      <w:bookmarkStart w:id="11" w:name="_Toc81991496"/>
      <w:bookmarkStart w:id="12" w:name="_Toc83720970"/>
      <w:r w:rsidRPr="00411626">
        <w:t xml:space="preserve">Table </w:t>
      </w:r>
      <w:fldSimple w:instr=" SEQ Table \* ARABIC ">
        <w:r w:rsidR="00533EE6">
          <w:rPr>
            <w:noProof/>
          </w:rPr>
          <w:t>1</w:t>
        </w:r>
      </w:fldSimple>
      <w:bookmarkEnd w:id="9"/>
      <w:r w:rsidR="009850D3">
        <w:tab/>
      </w:r>
      <w:r w:rsidRPr="00411626">
        <w:t>Annual observed and expected services for cancer-related diagnostic procedures in 2020, by cancer type</w:t>
      </w:r>
      <w:bookmarkEnd w:id="10"/>
      <w:bookmarkEnd w:id="11"/>
      <w:bookmarkEnd w:id="12"/>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547"/>
        <w:gridCol w:w="1109"/>
        <w:gridCol w:w="1113"/>
        <w:gridCol w:w="1102"/>
        <w:gridCol w:w="1113"/>
        <w:gridCol w:w="1225"/>
      </w:tblGrid>
      <w:tr w:rsidR="002546DF" w:rsidRPr="003B0E42" w14:paraId="2EE180E3" w14:textId="77777777" w:rsidTr="00D73C0D">
        <w:trPr>
          <w:trHeight w:val="375"/>
        </w:trPr>
        <w:tc>
          <w:tcPr>
            <w:tcW w:w="3547" w:type="dxa"/>
            <w:vMerge w:val="restart"/>
            <w:shd w:val="clear" w:color="auto" w:fill="808080"/>
            <w:tcMar>
              <w:top w:w="10" w:type="dxa"/>
              <w:left w:w="10" w:type="dxa"/>
              <w:bottom w:w="0" w:type="dxa"/>
              <w:right w:w="10" w:type="dxa"/>
            </w:tcMar>
            <w:vAlign w:val="center"/>
            <w:hideMark/>
          </w:tcPr>
          <w:p w14:paraId="0AB54AC6" w14:textId="77777777" w:rsidR="002546DF" w:rsidRPr="003B0E42" w:rsidRDefault="002546DF" w:rsidP="009210B8">
            <w:pPr>
              <w:spacing w:after="0" w:line="240" w:lineRule="auto"/>
              <w:textAlignment w:val="center"/>
              <w:rPr>
                <w:rFonts w:ascii="Arial" w:hAnsi="Arial" w:cs="Arial"/>
                <w:sz w:val="36"/>
                <w:szCs w:val="36"/>
                <w:lang w:eastAsia="en-AU"/>
              </w:rPr>
            </w:pPr>
            <w:r w:rsidRPr="003B0E42">
              <w:rPr>
                <w:rFonts w:cs="Arial"/>
                <w:b/>
                <w:bCs/>
                <w:color w:val="FFFFFF"/>
                <w:kern w:val="24"/>
                <w:sz w:val="18"/>
                <w:szCs w:val="18"/>
                <w:lang w:eastAsia="en-AU"/>
              </w:rPr>
              <w:t>Cancer type</w:t>
            </w:r>
          </w:p>
        </w:tc>
        <w:tc>
          <w:tcPr>
            <w:tcW w:w="1109" w:type="dxa"/>
            <w:vMerge w:val="restart"/>
            <w:shd w:val="clear" w:color="auto" w:fill="808080"/>
            <w:tcMar>
              <w:top w:w="10" w:type="dxa"/>
              <w:left w:w="10" w:type="dxa"/>
              <w:bottom w:w="0" w:type="dxa"/>
              <w:right w:w="10" w:type="dxa"/>
            </w:tcMar>
            <w:vAlign w:val="center"/>
            <w:hideMark/>
          </w:tcPr>
          <w:p w14:paraId="68024A65" w14:textId="77777777" w:rsidR="002546DF" w:rsidRPr="003B0E42" w:rsidRDefault="002546DF" w:rsidP="009210B8">
            <w:pPr>
              <w:spacing w:after="0" w:line="240" w:lineRule="auto"/>
              <w:jc w:val="center"/>
              <w:rPr>
                <w:rFonts w:ascii="Arial" w:hAnsi="Arial" w:cs="Arial"/>
                <w:sz w:val="36"/>
                <w:szCs w:val="36"/>
                <w:lang w:eastAsia="en-AU"/>
              </w:rPr>
            </w:pPr>
            <w:r w:rsidRPr="003B0E42">
              <w:rPr>
                <w:rFonts w:cs="Arial"/>
                <w:b/>
                <w:bCs/>
                <w:color w:val="FFFFFF"/>
                <w:kern w:val="24"/>
                <w:sz w:val="18"/>
                <w:szCs w:val="18"/>
                <w:lang w:eastAsia="en-AU"/>
              </w:rPr>
              <w:t>Observed</w:t>
            </w:r>
          </w:p>
        </w:tc>
        <w:tc>
          <w:tcPr>
            <w:tcW w:w="1113" w:type="dxa"/>
            <w:vMerge w:val="restart"/>
            <w:shd w:val="clear" w:color="auto" w:fill="808080"/>
            <w:tcMar>
              <w:top w:w="10" w:type="dxa"/>
              <w:left w:w="10" w:type="dxa"/>
              <w:bottom w:w="0" w:type="dxa"/>
              <w:right w:w="10" w:type="dxa"/>
            </w:tcMar>
            <w:vAlign w:val="center"/>
            <w:hideMark/>
          </w:tcPr>
          <w:p w14:paraId="3AECF4EF" w14:textId="77777777" w:rsidR="002546DF" w:rsidRPr="003B0E42" w:rsidRDefault="002546DF" w:rsidP="009210B8">
            <w:pPr>
              <w:spacing w:after="0" w:line="240" w:lineRule="auto"/>
              <w:jc w:val="center"/>
              <w:rPr>
                <w:rFonts w:ascii="Arial" w:hAnsi="Arial" w:cs="Arial"/>
                <w:sz w:val="36"/>
                <w:szCs w:val="36"/>
                <w:lang w:eastAsia="en-AU"/>
              </w:rPr>
            </w:pPr>
            <w:r w:rsidRPr="003B0E42">
              <w:rPr>
                <w:rFonts w:cs="Arial"/>
                <w:b/>
                <w:bCs/>
                <w:color w:val="FFFFFF"/>
                <w:kern w:val="24"/>
                <w:sz w:val="18"/>
                <w:szCs w:val="18"/>
                <w:lang w:eastAsia="en-AU"/>
              </w:rPr>
              <w:t>Expected</w:t>
            </w:r>
            <w:r w:rsidRPr="002546DF">
              <w:rPr>
                <w:rStyle w:val="FootnoteReference"/>
                <w:rFonts w:cs="Calibri"/>
                <w:bCs/>
                <w:color w:val="FFFFFF"/>
                <w:sz w:val="18"/>
                <w:szCs w:val="18"/>
                <w:lang w:eastAsia="en-AU"/>
              </w:rPr>
              <w:footnoteReference w:id="9"/>
            </w:r>
          </w:p>
        </w:tc>
        <w:tc>
          <w:tcPr>
            <w:tcW w:w="1102" w:type="dxa"/>
            <w:vMerge w:val="restart"/>
            <w:shd w:val="clear" w:color="auto" w:fill="808080"/>
            <w:tcMar>
              <w:top w:w="10" w:type="dxa"/>
              <w:left w:w="10" w:type="dxa"/>
              <w:bottom w:w="0" w:type="dxa"/>
              <w:right w:w="10" w:type="dxa"/>
            </w:tcMar>
            <w:vAlign w:val="center"/>
            <w:hideMark/>
          </w:tcPr>
          <w:p w14:paraId="2F7D5269" w14:textId="77777777" w:rsidR="002546DF" w:rsidRPr="003B0E42" w:rsidRDefault="002546DF" w:rsidP="009210B8">
            <w:pPr>
              <w:spacing w:after="0" w:line="240" w:lineRule="auto"/>
              <w:jc w:val="center"/>
              <w:rPr>
                <w:rFonts w:ascii="Arial" w:hAnsi="Arial" w:cs="Arial"/>
                <w:sz w:val="36"/>
                <w:szCs w:val="36"/>
                <w:lang w:eastAsia="en-AU"/>
              </w:rPr>
            </w:pPr>
            <w:r w:rsidRPr="003B0E42">
              <w:rPr>
                <w:rFonts w:cs="Arial"/>
                <w:b/>
                <w:bCs/>
                <w:color w:val="FFFFFF"/>
                <w:kern w:val="24"/>
                <w:sz w:val="18"/>
                <w:szCs w:val="18"/>
                <w:lang w:eastAsia="en-AU"/>
              </w:rPr>
              <w:t>O/E Ratio</w:t>
            </w:r>
          </w:p>
        </w:tc>
        <w:tc>
          <w:tcPr>
            <w:tcW w:w="2338" w:type="dxa"/>
            <w:gridSpan w:val="2"/>
            <w:shd w:val="clear" w:color="auto" w:fill="808080"/>
            <w:tcMar>
              <w:top w:w="10" w:type="dxa"/>
              <w:left w:w="10" w:type="dxa"/>
              <w:bottom w:w="0" w:type="dxa"/>
              <w:right w:w="10" w:type="dxa"/>
            </w:tcMar>
            <w:vAlign w:val="center"/>
            <w:hideMark/>
          </w:tcPr>
          <w:p w14:paraId="75CF5AF6" w14:textId="77777777" w:rsidR="002546DF" w:rsidRPr="003B0E42" w:rsidRDefault="002546DF" w:rsidP="009210B8">
            <w:pPr>
              <w:spacing w:after="0" w:line="240" w:lineRule="auto"/>
              <w:jc w:val="center"/>
              <w:rPr>
                <w:rFonts w:cs="Arial"/>
                <w:b/>
                <w:bCs/>
                <w:color w:val="FFFFFF"/>
                <w:kern w:val="24"/>
                <w:sz w:val="18"/>
                <w:szCs w:val="18"/>
                <w:lang w:eastAsia="en-AU"/>
              </w:rPr>
            </w:pPr>
            <w:r w:rsidRPr="003B0E42">
              <w:rPr>
                <w:rFonts w:cs="Arial"/>
                <w:b/>
                <w:bCs/>
                <w:color w:val="FFFFFF"/>
                <w:kern w:val="24"/>
                <w:sz w:val="18"/>
                <w:szCs w:val="18"/>
                <w:lang w:eastAsia="en-AU"/>
              </w:rPr>
              <w:t>Difference</w:t>
            </w:r>
          </w:p>
        </w:tc>
      </w:tr>
      <w:tr w:rsidR="002546DF" w:rsidRPr="003B0E42" w14:paraId="7BD3749C" w14:textId="77777777" w:rsidTr="00D73C0D">
        <w:trPr>
          <w:trHeight w:val="375"/>
        </w:trPr>
        <w:tc>
          <w:tcPr>
            <w:tcW w:w="3547" w:type="dxa"/>
            <w:vMerge/>
            <w:shd w:val="clear" w:color="auto" w:fill="808080"/>
            <w:tcMar>
              <w:top w:w="10" w:type="dxa"/>
              <w:left w:w="10" w:type="dxa"/>
              <w:bottom w:w="0" w:type="dxa"/>
              <w:right w:w="10" w:type="dxa"/>
            </w:tcMar>
            <w:vAlign w:val="center"/>
          </w:tcPr>
          <w:p w14:paraId="1C1A3F23" w14:textId="77777777" w:rsidR="002546DF" w:rsidRPr="003B0E42" w:rsidRDefault="002546DF" w:rsidP="009210B8">
            <w:pPr>
              <w:spacing w:after="0" w:line="240" w:lineRule="auto"/>
              <w:textAlignment w:val="center"/>
              <w:rPr>
                <w:rFonts w:cs="Arial"/>
                <w:b/>
                <w:bCs/>
                <w:color w:val="FFFFFF"/>
                <w:kern w:val="24"/>
                <w:sz w:val="18"/>
                <w:szCs w:val="18"/>
                <w:lang w:eastAsia="en-AU"/>
              </w:rPr>
            </w:pPr>
          </w:p>
        </w:tc>
        <w:tc>
          <w:tcPr>
            <w:tcW w:w="1109" w:type="dxa"/>
            <w:vMerge/>
            <w:shd w:val="clear" w:color="auto" w:fill="808080"/>
            <w:tcMar>
              <w:top w:w="10" w:type="dxa"/>
              <w:left w:w="10" w:type="dxa"/>
              <w:bottom w:w="0" w:type="dxa"/>
              <w:right w:w="10" w:type="dxa"/>
            </w:tcMar>
            <w:vAlign w:val="center"/>
          </w:tcPr>
          <w:p w14:paraId="35F4DDCF" w14:textId="77777777" w:rsidR="002546DF" w:rsidRPr="003B0E42" w:rsidRDefault="002546DF" w:rsidP="009210B8">
            <w:pPr>
              <w:spacing w:after="0" w:line="240" w:lineRule="auto"/>
              <w:rPr>
                <w:rFonts w:cs="Arial"/>
                <w:b/>
                <w:bCs/>
                <w:color w:val="FFFFFF"/>
                <w:kern w:val="24"/>
                <w:sz w:val="18"/>
                <w:szCs w:val="18"/>
                <w:lang w:eastAsia="en-AU"/>
              </w:rPr>
            </w:pPr>
          </w:p>
        </w:tc>
        <w:tc>
          <w:tcPr>
            <w:tcW w:w="1113" w:type="dxa"/>
            <w:vMerge/>
            <w:shd w:val="clear" w:color="auto" w:fill="808080"/>
            <w:tcMar>
              <w:top w:w="10" w:type="dxa"/>
              <w:left w:w="10" w:type="dxa"/>
              <w:bottom w:w="0" w:type="dxa"/>
              <w:right w:w="10" w:type="dxa"/>
            </w:tcMar>
            <w:vAlign w:val="center"/>
          </w:tcPr>
          <w:p w14:paraId="0DEE1B9B" w14:textId="77777777" w:rsidR="002546DF" w:rsidRPr="003B0E42" w:rsidRDefault="002546DF" w:rsidP="009210B8">
            <w:pPr>
              <w:spacing w:after="0" w:line="240" w:lineRule="auto"/>
              <w:rPr>
                <w:rFonts w:cs="Arial"/>
                <w:b/>
                <w:bCs/>
                <w:color w:val="FFFFFF"/>
                <w:kern w:val="24"/>
                <w:sz w:val="18"/>
                <w:szCs w:val="18"/>
                <w:lang w:eastAsia="en-AU"/>
              </w:rPr>
            </w:pPr>
          </w:p>
        </w:tc>
        <w:tc>
          <w:tcPr>
            <w:tcW w:w="1102" w:type="dxa"/>
            <w:vMerge/>
            <w:shd w:val="clear" w:color="auto" w:fill="808080"/>
            <w:tcMar>
              <w:top w:w="10" w:type="dxa"/>
              <w:left w:w="10" w:type="dxa"/>
              <w:bottom w:w="0" w:type="dxa"/>
              <w:right w:w="10" w:type="dxa"/>
            </w:tcMar>
            <w:vAlign w:val="center"/>
          </w:tcPr>
          <w:p w14:paraId="02A5AEC7" w14:textId="77777777" w:rsidR="002546DF" w:rsidRPr="003B0E42" w:rsidRDefault="002546DF" w:rsidP="009210B8">
            <w:pPr>
              <w:spacing w:after="0" w:line="240" w:lineRule="auto"/>
              <w:rPr>
                <w:rFonts w:cs="Arial"/>
                <w:b/>
                <w:bCs/>
                <w:color w:val="FFFFFF"/>
                <w:kern w:val="24"/>
                <w:sz w:val="18"/>
                <w:szCs w:val="18"/>
                <w:lang w:eastAsia="en-AU"/>
              </w:rPr>
            </w:pPr>
          </w:p>
        </w:tc>
        <w:tc>
          <w:tcPr>
            <w:tcW w:w="1113" w:type="dxa"/>
            <w:shd w:val="clear" w:color="auto" w:fill="808080"/>
            <w:tcMar>
              <w:top w:w="10" w:type="dxa"/>
              <w:left w:w="10" w:type="dxa"/>
              <w:bottom w:w="0" w:type="dxa"/>
              <w:right w:w="10" w:type="dxa"/>
            </w:tcMar>
            <w:vAlign w:val="center"/>
          </w:tcPr>
          <w:p w14:paraId="292EB4E1" w14:textId="77777777" w:rsidR="002546DF" w:rsidRPr="003B0E42" w:rsidRDefault="002546DF" w:rsidP="009210B8">
            <w:pPr>
              <w:spacing w:after="0" w:line="240" w:lineRule="auto"/>
              <w:jc w:val="center"/>
              <w:rPr>
                <w:rFonts w:cs="Arial"/>
                <w:b/>
                <w:bCs/>
                <w:color w:val="FFFFFF"/>
                <w:kern w:val="24"/>
                <w:sz w:val="18"/>
                <w:szCs w:val="18"/>
                <w:lang w:eastAsia="en-AU"/>
              </w:rPr>
            </w:pPr>
            <w:r>
              <w:rPr>
                <w:rFonts w:cs="Arial"/>
                <w:b/>
                <w:bCs/>
                <w:color w:val="FFFFFF"/>
                <w:kern w:val="24"/>
                <w:sz w:val="18"/>
                <w:szCs w:val="18"/>
                <w:lang w:eastAsia="en-AU"/>
              </w:rPr>
              <w:t>Number of services</w:t>
            </w:r>
          </w:p>
        </w:tc>
        <w:tc>
          <w:tcPr>
            <w:tcW w:w="1225" w:type="dxa"/>
            <w:shd w:val="clear" w:color="auto" w:fill="808080"/>
            <w:vAlign w:val="center"/>
          </w:tcPr>
          <w:p w14:paraId="7FDDD223" w14:textId="77777777" w:rsidR="002546DF" w:rsidRPr="003B0E42" w:rsidRDefault="002546DF" w:rsidP="009210B8">
            <w:pPr>
              <w:spacing w:after="0" w:line="240" w:lineRule="auto"/>
              <w:jc w:val="center"/>
              <w:rPr>
                <w:rFonts w:cs="Arial"/>
                <w:b/>
                <w:bCs/>
                <w:color w:val="FFFFFF"/>
                <w:kern w:val="24"/>
                <w:sz w:val="18"/>
                <w:szCs w:val="18"/>
                <w:lang w:eastAsia="en-AU"/>
              </w:rPr>
            </w:pPr>
            <w:r>
              <w:rPr>
                <w:rFonts w:cs="Arial"/>
                <w:b/>
                <w:bCs/>
                <w:color w:val="FFFFFF"/>
                <w:kern w:val="24"/>
                <w:sz w:val="18"/>
                <w:szCs w:val="18"/>
                <w:lang w:eastAsia="en-AU"/>
              </w:rPr>
              <w:t>% difference</w:t>
            </w:r>
          </w:p>
        </w:tc>
      </w:tr>
      <w:tr w:rsidR="002546DF" w:rsidRPr="003B0E42" w14:paraId="3B79F9CC" w14:textId="77777777" w:rsidTr="00D73C0D">
        <w:trPr>
          <w:trHeight w:val="290"/>
        </w:trPr>
        <w:tc>
          <w:tcPr>
            <w:tcW w:w="3547" w:type="dxa"/>
            <w:shd w:val="clear" w:color="auto" w:fill="auto"/>
            <w:tcMar>
              <w:top w:w="10" w:type="dxa"/>
              <w:left w:w="10" w:type="dxa"/>
              <w:bottom w:w="0" w:type="dxa"/>
              <w:right w:w="10" w:type="dxa"/>
            </w:tcMar>
            <w:vAlign w:val="center"/>
            <w:hideMark/>
          </w:tcPr>
          <w:p w14:paraId="7A2D7416" w14:textId="77777777" w:rsidR="002546DF" w:rsidRPr="00AF22C7" w:rsidRDefault="002546DF" w:rsidP="009210B8">
            <w:pPr>
              <w:spacing w:after="0" w:line="240" w:lineRule="auto"/>
              <w:textAlignment w:val="center"/>
              <w:rPr>
                <w:rFonts w:ascii="Arial" w:hAnsi="Arial" w:cs="Arial"/>
                <w:b/>
                <w:sz w:val="36"/>
                <w:szCs w:val="36"/>
                <w:lang w:eastAsia="en-AU"/>
              </w:rPr>
            </w:pPr>
            <w:bookmarkStart w:id="13" w:name="_Hlk80527754"/>
            <w:r w:rsidRPr="00AF22C7">
              <w:rPr>
                <w:rFonts w:cs="Arial"/>
                <w:b/>
                <w:kern w:val="24"/>
                <w:sz w:val="18"/>
                <w:szCs w:val="18"/>
                <w:lang w:eastAsia="en-AU"/>
              </w:rPr>
              <w:t>Breast cancer</w:t>
            </w:r>
          </w:p>
        </w:tc>
        <w:tc>
          <w:tcPr>
            <w:tcW w:w="1109" w:type="dxa"/>
            <w:shd w:val="clear" w:color="auto" w:fill="auto"/>
            <w:tcMar>
              <w:top w:w="10" w:type="dxa"/>
              <w:left w:w="10" w:type="dxa"/>
              <w:bottom w:w="0" w:type="dxa"/>
              <w:right w:w="10" w:type="dxa"/>
            </w:tcMar>
            <w:vAlign w:val="center"/>
            <w:hideMark/>
          </w:tcPr>
          <w:p w14:paraId="3CCB7417" w14:textId="77777777" w:rsidR="002546DF" w:rsidRPr="003B0E42" w:rsidRDefault="002546DF" w:rsidP="009210B8">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520,613</w:t>
            </w:r>
          </w:p>
        </w:tc>
        <w:tc>
          <w:tcPr>
            <w:tcW w:w="1113" w:type="dxa"/>
            <w:shd w:val="clear" w:color="auto" w:fill="auto"/>
            <w:tcMar>
              <w:top w:w="10" w:type="dxa"/>
              <w:left w:w="10" w:type="dxa"/>
              <w:bottom w:w="0" w:type="dxa"/>
              <w:right w:w="10" w:type="dxa"/>
            </w:tcMar>
            <w:vAlign w:val="center"/>
            <w:hideMark/>
          </w:tcPr>
          <w:p w14:paraId="6431792F" w14:textId="77777777" w:rsidR="002546DF" w:rsidRPr="003B0E42" w:rsidRDefault="002546DF" w:rsidP="009210B8">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541,285</w:t>
            </w:r>
          </w:p>
        </w:tc>
        <w:tc>
          <w:tcPr>
            <w:tcW w:w="1102" w:type="dxa"/>
            <w:shd w:val="clear" w:color="auto" w:fill="auto"/>
            <w:tcMar>
              <w:top w:w="10" w:type="dxa"/>
              <w:left w:w="10" w:type="dxa"/>
              <w:bottom w:w="0" w:type="dxa"/>
              <w:right w:w="10" w:type="dxa"/>
            </w:tcMar>
            <w:vAlign w:val="center"/>
            <w:hideMark/>
          </w:tcPr>
          <w:p w14:paraId="5902F051" w14:textId="77777777" w:rsidR="002546DF" w:rsidRPr="003B0E42" w:rsidRDefault="002546DF" w:rsidP="009210B8">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0.96</w:t>
            </w:r>
          </w:p>
        </w:tc>
        <w:tc>
          <w:tcPr>
            <w:tcW w:w="1113" w:type="dxa"/>
            <w:shd w:val="clear" w:color="auto" w:fill="auto"/>
            <w:tcMar>
              <w:top w:w="10" w:type="dxa"/>
              <w:left w:w="10" w:type="dxa"/>
              <w:bottom w:w="0" w:type="dxa"/>
              <w:right w:w="10" w:type="dxa"/>
            </w:tcMar>
            <w:vAlign w:val="center"/>
            <w:hideMark/>
          </w:tcPr>
          <w:p w14:paraId="60CA3102" w14:textId="77777777" w:rsidR="002546DF" w:rsidRPr="003B0E42" w:rsidRDefault="002546DF" w:rsidP="009210B8">
            <w:pPr>
              <w:spacing w:after="0" w:line="240" w:lineRule="auto"/>
              <w:jc w:val="right"/>
              <w:textAlignment w:val="center"/>
              <w:rPr>
                <w:rFonts w:ascii="Arial" w:hAnsi="Arial" w:cs="Arial"/>
                <w:sz w:val="36"/>
                <w:szCs w:val="36"/>
                <w:lang w:eastAsia="en-AU"/>
              </w:rPr>
            </w:pPr>
            <w:r w:rsidRPr="003B0E42">
              <w:rPr>
                <w:rFonts w:cs="Arial"/>
                <w:kern w:val="24"/>
                <w:sz w:val="18"/>
                <w:szCs w:val="18"/>
                <w:lang w:eastAsia="en-AU"/>
              </w:rPr>
              <w:t xml:space="preserve">- 20,672 </w:t>
            </w:r>
          </w:p>
        </w:tc>
        <w:tc>
          <w:tcPr>
            <w:tcW w:w="1225" w:type="dxa"/>
          </w:tcPr>
          <w:p w14:paraId="47C714E9" w14:textId="77777777" w:rsidR="002546DF" w:rsidRPr="003B0E42" w:rsidRDefault="002546DF" w:rsidP="009210B8">
            <w:pPr>
              <w:spacing w:after="0" w:line="240" w:lineRule="auto"/>
              <w:jc w:val="right"/>
              <w:textAlignment w:val="center"/>
              <w:rPr>
                <w:rFonts w:cs="Arial"/>
                <w:kern w:val="24"/>
                <w:sz w:val="18"/>
                <w:szCs w:val="18"/>
                <w:lang w:eastAsia="en-AU"/>
              </w:rPr>
            </w:pPr>
            <w:r>
              <w:rPr>
                <w:rFonts w:cs="Arial"/>
                <w:kern w:val="24"/>
                <w:sz w:val="18"/>
                <w:szCs w:val="18"/>
                <w:lang w:eastAsia="en-AU"/>
              </w:rPr>
              <w:t>- 4%</w:t>
            </w:r>
          </w:p>
        </w:tc>
      </w:tr>
      <w:tr w:rsidR="002546DF" w:rsidRPr="003B0E42" w14:paraId="0590BEA7" w14:textId="77777777" w:rsidTr="00D73C0D">
        <w:trPr>
          <w:trHeight w:val="290"/>
        </w:trPr>
        <w:tc>
          <w:tcPr>
            <w:tcW w:w="3547" w:type="dxa"/>
            <w:shd w:val="clear" w:color="auto" w:fill="auto"/>
            <w:tcMar>
              <w:top w:w="10" w:type="dxa"/>
              <w:left w:w="10" w:type="dxa"/>
              <w:bottom w:w="0" w:type="dxa"/>
              <w:right w:w="10" w:type="dxa"/>
            </w:tcMar>
            <w:vAlign w:val="center"/>
            <w:hideMark/>
          </w:tcPr>
          <w:p w14:paraId="5170E811" w14:textId="77777777" w:rsidR="002546DF" w:rsidRPr="00AF22C7" w:rsidRDefault="002546DF" w:rsidP="009210B8">
            <w:pPr>
              <w:spacing w:after="0" w:line="240" w:lineRule="auto"/>
              <w:textAlignment w:val="center"/>
              <w:rPr>
                <w:rFonts w:ascii="Arial" w:hAnsi="Arial" w:cs="Arial"/>
                <w:b/>
                <w:sz w:val="36"/>
                <w:szCs w:val="36"/>
                <w:lang w:eastAsia="en-AU"/>
              </w:rPr>
            </w:pPr>
            <w:r w:rsidRPr="00AF22C7">
              <w:rPr>
                <w:rFonts w:cs="Arial"/>
                <w:b/>
                <w:kern w:val="24"/>
                <w:sz w:val="18"/>
                <w:szCs w:val="18"/>
                <w:lang w:eastAsia="en-AU"/>
              </w:rPr>
              <w:t>Colorectal cancer</w:t>
            </w:r>
            <w:r w:rsidRPr="00AF22C7">
              <w:rPr>
                <w:rStyle w:val="FootnoteReference"/>
                <w:rFonts w:cs="Calibri"/>
                <w:b/>
                <w:sz w:val="18"/>
                <w:szCs w:val="18"/>
              </w:rPr>
              <w:footnoteReference w:id="10"/>
            </w:r>
          </w:p>
        </w:tc>
        <w:tc>
          <w:tcPr>
            <w:tcW w:w="1109" w:type="dxa"/>
            <w:shd w:val="clear" w:color="auto" w:fill="auto"/>
            <w:tcMar>
              <w:top w:w="10" w:type="dxa"/>
              <w:left w:w="10" w:type="dxa"/>
              <w:bottom w:w="0" w:type="dxa"/>
              <w:right w:w="10" w:type="dxa"/>
            </w:tcMar>
            <w:vAlign w:val="center"/>
            <w:hideMark/>
          </w:tcPr>
          <w:p w14:paraId="7383AFA9" w14:textId="77777777" w:rsidR="002546DF" w:rsidRPr="003B0E42" w:rsidRDefault="002546DF" w:rsidP="009210B8">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609,645</w:t>
            </w:r>
          </w:p>
        </w:tc>
        <w:tc>
          <w:tcPr>
            <w:tcW w:w="1113" w:type="dxa"/>
            <w:shd w:val="clear" w:color="auto" w:fill="auto"/>
            <w:tcMar>
              <w:top w:w="10" w:type="dxa"/>
              <w:left w:w="10" w:type="dxa"/>
              <w:bottom w:w="0" w:type="dxa"/>
              <w:right w:w="10" w:type="dxa"/>
            </w:tcMar>
            <w:vAlign w:val="center"/>
            <w:hideMark/>
          </w:tcPr>
          <w:p w14:paraId="1DF6DE48" w14:textId="77777777" w:rsidR="002546DF" w:rsidRPr="003B0E42" w:rsidRDefault="002546DF" w:rsidP="009210B8">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696,938</w:t>
            </w:r>
          </w:p>
        </w:tc>
        <w:tc>
          <w:tcPr>
            <w:tcW w:w="1102" w:type="dxa"/>
            <w:shd w:val="clear" w:color="auto" w:fill="auto"/>
            <w:tcMar>
              <w:top w:w="10" w:type="dxa"/>
              <w:left w:w="10" w:type="dxa"/>
              <w:bottom w:w="0" w:type="dxa"/>
              <w:right w:w="10" w:type="dxa"/>
            </w:tcMar>
            <w:vAlign w:val="center"/>
            <w:hideMark/>
          </w:tcPr>
          <w:p w14:paraId="22BA3B9C" w14:textId="77777777" w:rsidR="002546DF" w:rsidRPr="003B0E42" w:rsidRDefault="002546DF" w:rsidP="009210B8">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0.87</w:t>
            </w:r>
          </w:p>
        </w:tc>
        <w:tc>
          <w:tcPr>
            <w:tcW w:w="1113" w:type="dxa"/>
            <w:shd w:val="clear" w:color="auto" w:fill="auto"/>
            <w:tcMar>
              <w:top w:w="10" w:type="dxa"/>
              <w:left w:w="10" w:type="dxa"/>
              <w:bottom w:w="0" w:type="dxa"/>
              <w:right w:w="10" w:type="dxa"/>
            </w:tcMar>
            <w:vAlign w:val="center"/>
            <w:hideMark/>
          </w:tcPr>
          <w:p w14:paraId="5D8DA623" w14:textId="77777777" w:rsidR="002546DF" w:rsidRPr="003B0E42" w:rsidRDefault="002546DF" w:rsidP="009210B8">
            <w:pPr>
              <w:spacing w:after="0" w:line="240" w:lineRule="auto"/>
              <w:jc w:val="right"/>
              <w:textAlignment w:val="center"/>
              <w:rPr>
                <w:rFonts w:ascii="Arial" w:hAnsi="Arial" w:cs="Arial"/>
                <w:sz w:val="36"/>
                <w:szCs w:val="36"/>
                <w:lang w:eastAsia="en-AU"/>
              </w:rPr>
            </w:pPr>
            <w:r w:rsidRPr="003B0E42">
              <w:rPr>
                <w:rFonts w:cs="Arial"/>
                <w:kern w:val="24"/>
                <w:sz w:val="18"/>
                <w:szCs w:val="18"/>
                <w:lang w:eastAsia="en-AU"/>
              </w:rPr>
              <w:t xml:space="preserve">- 87,293 </w:t>
            </w:r>
          </w:p>
        </w:tc>
        <w:tc>
          <w:tcPr>
            <w:tcW w:w="1225" w:type="dxa"/>
          </w:tcPr>
          <w:p w14:paraId="1E2B7E15" w14:textId="77777777" w:rsidR="002546DF" w:rsidRPr="003B0E42" w:rsidRDefault="002546DF" w:rsidP="009210B8">
            <w:pPr>
              <w:spacing w:after="0" w:line="240" w:lineRule="auto"/>
              <w:jc w:val="right"/>
              <w:textAlignment w:val="center"/>
              <w:rPr>
                <w:rFonts w:cs="Arial"/>
                <w:kern w:val="24"/>
                <w:sz w:val="18"/>
                <w:szCs w:val="18"/>
                <w:lang w:eastAsia="en-AU"/>
              </w:rPr>
            </w:pPr>
            <w:r>
              <w:rPr>
                <w:rFonts w:cs="Arial"/>
                <w:kern w:val="24"/>
                <w:sz w:val="18"/>
                <w:szCs w:val="18"/>
                <w:lang w:eastAsia="en-AU"/>
              </w:rPr>
              <w:t>- 13%</w:t>
            </w:r>
          </w:p>
        </w:tc>
      </w:tr>
      <w:bookmarkEnd w:id="13"/>
      <w:tr w:rsidR="002546DF" w:rsidRPr="003B0E42" w14:paraId="412DF03F" w14:textId="77777777" w:rsidTr="00D73C0D">
        <w:trPr>
          <w:trHeight w:val="290"/>
        </w:trPr>
        <w:tc>
          <w:tcPr>
            <w:tcW w:w="3547" w:type="dxa"/>
            <w:shd w:val="clear" w:color="auto" w:fill="auto"/>
            <w:tcMar>
              <w:top w:w="10" w:type="dxa"/>
              <w:left w:w="10" w:type="dxa"/>
              <w:bottom w:w="0" w:type="dxa"/>
              <w:right w:w="10" w:type="dxa"/>
            </w:tcMar>
            <w:vAlign w:val="center"/>
          </w:tcPr>
          <w:p w14:paraId="1CEECA09" w14:textId="77777777" w:rsidR="002546DF" w:rsidRPr="00AF22C7" w:rsidRDefault="002546DF" w:rsidP="009210B8">
            <w:pPr>
              <w:spacing w:after="0" w:line="240" w:lineRule="auto"/>
              <w:textAlignment w:val="center"/>
              <w:rPr>
                <w:rFonts w:cs="Arial"/>
                <w:b/>
                <w:kern w:val="24"/>
                <w:sz w:val="18"/>
                <w:szCs w:val="18"/>
                <w:lang w:eastAsia="en-AU"/>
              </w:rPr>
            </w:pPr>
            <w:r w:rsidRPr="00AF22C7">
              <w:rPr>
                <w:rFonts w:cs="Arial"/>
                <w:b/>
                <w:kern w:val="24"/>
                <w:sz w:val="18"/>
                <w:szCs w:val="18"/>
                <w:lang w:eastAsia="en-AU"/>
              </w:rPr>
              <w:t xml:space="preserve">Kidney cancer </w:t>
            </w:r>
          </w:p>
        </w:tc>
        <w:tc>
          <w:tcPr>
            <w:tcW w:w="1109" w:type="dxa"/>
            <w:shd w:val="clear" w:color="auto" w:fill="auto"/>
            <w:tcMar>
              <w:top w:w="10" w:type="dxa"/>
              <w:left w:w="10" w:type="dxa"/>
              <w:bottom w:w="0" w:type="dxa"/>
              <w:right w:w="10" w:type="dxa"/>
            </w:tcMar>
            <w:vAlign w:val="center"/>
          </w:tcPr>
          <w:p w14:paraId="0FC98C0C" w14:textId="77777777" w:rsidR="002546DF" w:rsidRPr="003B0E42" w:rsidRDefault="002546DF" w:rsidP="009210B8">
            <w:pPr>
              <w:spacing w:after="0" w:line="240" w:lineRule="auto"/>
              <w:jc w:val="center"/>
              <w:textAlignment w:val="center"/>
              <w:rPr>
                <w:rFonts w:cs="Arial"/>
                <w:kern w:val="24"/>
                <w:sz w:val="18"/>
                <w:szCs w:val="18"/>
                <w:lang w:eastAsia="en-AU"/>
              </w:rPr>
            </w:pPr>
            <w:r w:rsidRPr="003B0E42">
              <w:rPr>
                <w:rFonts w:cs="Arial"/>
                <w:kern w:val="24"/>
                <w:sz w:val="18"/>
                <w:szCs w:val="18"/>
                <w:lang w:eastAsia="en-AU"/>
              </w:rPr>
              <w:t>1,940</w:t>
            </w:r>
          </w:p>
        </w:tc>
        <w:tc>
          <w:tcPr>
            <w:tcW w:w="1113" w:type="dxa"/>
            <w:shd w:val="clear" w:color="auto" w:fill="auto"/>
            <w:tcMar>
              <w:top w:w="10" w:type="dxa"/>
              <w:left w:w="10" w:type="dxa"/>
              <w:bottom w:w="0" w:type="dxa"/>
              <w:right w:w="10" w:type="dxa"/>
            </w:tcMar>
            <w:vAlign w:val="center"/>
          </w:tcPr>
          <w:p w14:paraId="420E547E" w14:textId="77777777" w:rsidR="002546DF" w:rsidRPr="003B0E42" w:rsidRDefault="002546DF" w:rsidP="009210B8">
            <w:pPr>
              <w:spacing w:after="0" w:line="240" w:lineRule="auto"/>
              <w:jc w:val="center"/>
              <w:textAlignment w:val="center"/>
              <w:rPr>
                <w:rFonts w:cs="Arial"/>
                <w:kern w:val="24"/>
                <w:sz w:val="18"/>
                <w:szCs w:val="18"/>
                <w:lang w:eastAsia="en-AU"/>
              </w:rPr>
            </w:pPr>
            <w:r w:rsidRPr="003B0E42">
              <w:rPr>
                <w:rFonts w:cs="Arial"/>
                <w:kern w:val="24"/>
                <w:sz w:val="18"/>
                <w:szCs w:val="18"/>
                <w:lang w:eastAsia="en-AU"/>
              </w:rPr>
              <w:t>1,854</w:t>
            </w:r>
          </w:p>
        </w:tc>
        <w:tc>
          <w:tcPr>
            <w:tcW w:w="1102" w:type="dxa"/>
            <w:shd w:val="clear" w:color="auto" w:fill="auto"/>
            <w:tcMar>
              <w:top w:w="10" w:type="dxa"/>
              <w:left w:w="10" w:type="dxa"/>
              <w:bottom w:w="0" w:type="dxa"/>
              <w:right w:w="10" w:type="dxa"/>
            </w:tcMar>
            <w:vAlign w:val="center"/>
          </w:tcPr>
          <w:p w14:paraId="3ACC3F17" w14:textId="77777777" w:rsidR="002546DF" w:rsidRPr="003B0E42" w:rsidRDefault="002546DF" w:rsidP="009210B8">
            <w:pPr>
              <w:spacing w:after="0" w:line="240" w:lineRule="auto"/>
              <w:jc w:val="center"/>
              <w:textAlignment w:val="center"/>
              <w:rPr>
                <w:rFonts w:cs="Arial"/>
                <w:kern w:val="24"/>
                <w:sz w:val="18"/>
                <w:szCs w:val="18"/>
                <w:lang w:eastAsia="en-AU"/>
              </w:rPr>
            </w:pPr>
            <w:r w:rsidRPr="003B0E42">
              <w:rPr>
                <w:rFonts w:cs="Arial"/>
                <w:kern w:val="24"/>
                <w:sz w:val="18"/>
                <w:szCs w:val="18"/>
                <w:lang w:eastAsia="en-AU"/>
              </w:rPr>
              <w:t>1.05</w:t>
            </w:r>
          </w:p>
        </w:tc>
        <w:tc>
          <w:tcPr>
            <w:tcW w:w="1113" w:type="dxa"/>
            <w:shd w:val="clear" w:color="auto" w:fill="auto"/>
            <w:tcMar>
              <w:top w:w="10" w:type="dxa"/>
              <w:left w:w="10" w:type="dxa"/>
              <w:bottom w:w="0" w:type="dxa"/>
              <w:right w:w="10" w:type="dxa"/>
            </w:tcMar>
            <w:vAlign w:val="center"/>
          </w:tcPr>
          <w:p w14:paraId="489D1C9D" w14:textId="77777777" w:rsidR="002546DF" w:rsidRPr="003B0E42" w:rsidRDefault="002546DF" w:rsidP="009210B8">
            <w:pPr>
              <w:spacing w:after="0" w:line="240" w:lineRule="auto"/>
              <w:jc w:val="right"/>
              <w:textAlignment w:val="center"/>
              <w:rPr>
                <w:rFonts w:cs="Arial"/>
                <w:kern w:val="24"/>
                <w:sz w:val="18"/>
                <w:szCs w:val="18"/>
                <w:lang w:eastAsia="en-AU"/>
              </w:rPr>
            </w:pPr>
            <w:r>
              <w:rPr>
                <w:rFonts w:cs="Arial"/>
                <w:kern w:val="24"/>
                <w:sz w:val="18"/>
                <w:szCs w:val="18"/>
                <w:lang w:eastAsia="en-AU"/>
              </w:rPr>
              <w:t xml:space="preserve">+ </w:t>
            </w:r>
            <w:r w:rsidRPr="003B0E42">
              <w:rPr>
                <w:rFonts w:cs="Arial"/>
                <w:kern w:val="24"/>
                <w:sz w:val="18"/>
                <w:szCs w:val="18"/>
                <w:lang w:eastAsia="en-AU"/>
              </w:rPr>
              <w:t xml:space="preserve">86 </w:t>
            </w:r>
          </w:p>
        </w:tc>
        <w:tc>
          <w:tcPr>
            <w:tcW w:w="1225" w:type="dxa"/>
          </w:tcPr>
          <w:p w14:paraId="4E5F82E8" w14:textId="77777777" w:rsidR="002546DF" w:rsidRDefault="002546DF" w:rsidP="009210B8">
            <w:pPr>
              <w:spacing w:after="0" w:line="240" w:lineRule="auto"/>
              <w:jc w:val="right"/>
              <w:textAlignment w:val="center"/>
              <w:rPr>
                <w:rFonts w:cs="Arial"/>
                <w:kern w:val="24"/>
                <w:sz w:val="18"/>
                <w:szCs w:val="18"/>
                <w:lang w:eastAsia="en-AU"/>
              </w:rPr>
            </w:pPr>
            <w:r>
              <w:rPr>
                <w:rFonts w:cs="Arial"/>
                <w:kern w:val="24"/>
                <w:sz w:val="18"/>
                <w:szCs w:val="18"/>
                <w:lang w:eastAsia="en-AU"/>
              </w:rPr>
              <w:t>+ 5%</w:t>
            </w:r>
          </w:p>
        </w:tc>
      </w:tr>
      <w:tr w:rsidR="002546DF" w:rsidRPr="003B0E42" w14:paraId="489BFA30" w14:textId="77777777" w:rsidTr="00D73C0D">
        <w:trPr>
          <w:trHeight w:val="290"/>
        </w:trPr>
        <w:tc>
          <w:tcPr>
            <w:tcW w:w="3547" w:type="dxa"/>
            <w:shd w:val="clear" w:color="auto" w:fill="auto"/>
            <w:tcMar>
              <w:top w:w="10" w:type="dxa"/>
              <w:left w:w="10" w:type="dxa"/>
              <w:bottom w:w="0" w:type="dxa"/>
              <w:right w:w="10" w:type="dxa"/>
            </w:tcMar>
            <w:vAlign w:val="center"/>
          </w:tcPr>
          <w:p w14:paraId="1A66854B" w14:textId="77777777" w:rsidR="002546DF" w:rsidRPr="00AF22C7" w:rsidRDefault="002546DF" w:rsidP="009210B8">
            <w:pPr>
              <w:spacing w:after="0" w:line="240" w:lineRule="auto"/>
              <w:textAlignment w:val="center"/>
              <w:rPr>
                <w:rFonts w:cs="Arial"/>
                <w:b/>
                <w:kern w:val="24"/>
                <w:sz w:val="18"/>
                <w:szCs w:val="18"/>
                <w:lang w:eastAsia="en-AU"/>
              </w:rPr>
            </w:pPr>
            <w:r w:rsidRPr="00AF22C7">
              <w:rPr>
                <w:rFonts w:cs="Arial"/>
                <w:b/>
                <w:kern w:val="24"/>
                <w:sz w:val="18"/>
                <w:szCs w:val="18"/>
                <w:lang w:eastAsia="en-AU"/>
              </w:rPr>
              <w:t>Liver cancer</w:t>
            </w:r>
          </w:p>
        </w:tc>
        <w:tc>
          <w:tcPr>
            <w:tcW w:w="1109" w:type="dxa"/>
            <w:shd w:val="clear" w:color="auto" w:fill="auto"/>
            <w:tcMar>
              <w:top w:w="10" w:type="dxa"/>
              <w:left w:w="10" w:type="dxa"/>
              <w:bottom w:w="0" w:type="dxa"/>
              <w:right w:w="10" w:type="dxa"/>
            </w:tcMar>
            <w:vAlign w:val="center"/>
          </w:tcPr>
          <w:p w14:paraId="6A145101" w14:textId="77777777" w:rsidR="002546DF" w:rsidRPr="003B0E42" w:rsidRDefault="002546DF" w:rsidP="009210B8">
            <w:pPr>
              <w:spacing w:after="0" w:line="240" w:lineRule="auto"/>
              <w:jc w:val="center"/>
              <w:textAlignment w:val="center"/>
              <w:rPr>
                <w:rFonts w:cs="Arial"/>
                <w:kern w:val="24"/>
                <w:sz w:val="18"/>
                <w:szCs w:val="18"/>
                <w:lang w:eastAsia="en-AU"/>
              </w:rPr>
            </w:pPr>
            <w:r w:rsidRPr="003B0E42">
              <w:rPr>
                <w:rFonts w:cs="Arial"/>
                <w:kern w:val="24"/>
                <w:sz w:val="18"/>
                <w:szCs w:val="18"/>
                <w:lang w:eastAsia="en-AU"/>
              </w:rPr>
              <w:t>3,446</w:t>
            </w:r>
          </w:p>
        </w:tc>
        <w:tc>
          <w:tcPr>
            <w:tcW w:w="1113" w:type="dxa"/>
            <w:shd w:val="clear" w:color="auto" w:fill="auto"/>
            <w:tcMar>
              <w:top w:w="10" w:type="dxa"/>
              <w:left w:w="10" w:type="dxa"/>
              <w:bottom w:w="0" w:type="dxa"/>
              <w:right w:w="10" w:type="dxa"/>
            </w:tcMar>
            <w:vAlign w:val="center"/>
          </w:tcPr>
          <w:p w14:paraId="28748D80" w14:textId="77777777" w:rsidR="002546DF" w:rsidRPr="003B0E42" w:rsidRDefault="002546DF" w:rsidP="009210B8">
            <w:pPr>
              <w:spacing w:after="0" w:line="240" w:lineRule="auto"/>
              <w:jc w:val="center"/>
              <w:textAlignment w:val="center"/>
              <w:rPr>
                <w:rFonts w:cs="Arial"/>
                <w:kern w:val="24"/>
                <w:sz w:val="18"/>
                <w:szCs w:val="18"/>
                <w:lang w:eastAsia="en-AU"/>
              </w:rPr>
            </w:pPr>
            <w:r w:rsidRPr="003B0E42">
              <w:rPr>
                <w:rFonts w:cs="Arial"/>
                <w:kern w:val="24"/>
                <w:sz w:val="18"/>
                <w:szCs w:val="18"/>
                <w:lang w:eastAsia="en-AU"/>
              </w:rPr>
              <w:t>3,93</w:t>
            </w:r>
            <w:r>
              <w:rPr>
                <w:rFonts w:cs="Arial"/>
                <w:kern w:val="24"/>
                <w:sz w:val="18"/>
                <w:szCs w:val="18"/>
                <w:lang w:eastAsia="en-AU"/>
              </w:rPr>
              <w:t>4</w:t>
            </w:r>
          </w:p>
        </w:tc>
        <w:tc>
          <w:tcPr>
            <w:tcW w:w="1102" w:type="dxa"/>
            <w:shd w:val="clear" w:color="auto" w:fill="auto"/>
            <w:tcMar>
              <w:top w:w="10" w:type="dxa"/>
              <w:left w:w="10" w:type="dxa"/>
              <w:bottom w:w="0" w:type="dxa"/>
              <w:right w:w="10" w:type="dxa"/>
            </w:tcMar>
            <w:vAlign w:val="center"/>
          </w:tcPr>
          <w:p w14:paraId="1A651DD3" w14:textId="77777777" w:rsidR="002546DF" w:rsidRPr="003B0E42" w:rsidRDefault="002546DF" w:rsidP="009210B8">
            <w:pPr>
              <w:spacing w:after="0" w:line="240" w:lineRule="auto"/>
              <w:jc w:val="center"/>
              <w:textAlignment w:val="center"/>
              <w:rPr>
                <w:rFonts w:cs="Arial"/>
                <w:kern w:val="24"/>
                <w:sz w:val="18"/>
                <w:szCs w:val="18"/>
                <w:lang w:eastAsia="en-AU"/>
              </w:rPr>
            </w:pPr>
            <w:r w:rsidRPr="003B0E42">
              <w:rPr>
                <w:rFonts w:cs="Arial"/>
                <w:kern w:val="24"/>
                <w:sz w:val="18"/>
                <w:szCs w:val="18"/>
                <w:lang w:eastAsia="en-AU"/>
              </w:rPr>
              <w:t>0.88</w:t>
            </w:r>
          </w:p>
        </w:tc>
        <w:tc>
          <w:tcPr>
            <w:tcW w:w="1113" w:type="dxa"/>
            <w:shd w:val="clear" w:color="auto" w:fill="auto"/>
            <w:tcMar>
              <w:top w:w="10" w:type="dxa"/>
              <w:left w:w="10" w:type="dxa"/>
              <w:bottom w:w="0" w:type="dxa"/>
              <w:right w:w="10" w:type="dxa"/>
            </w:tcMar>
            <w:vAlign w:val="center"/>
          </w:tcPr>
          <w:p w14:paraId="3435F594" w14:textId="77777777" w:rsidR="002546DF" w:rsidRPr="003B0E42" w:rsidRDefault="002546DF" w:rsidP="009210B8">
            <w:pPr>
              <w:spacing w:after="0" w:line="240" w:lineRule="auto"/>
              <w:jc w:val="right"/>
              <w:textAlignment w:val="center"/>
              <w:rPr>
                <w:rFonts w:cs="Arial"/>
                <w:kern w:val="24"/>
                <w:sz w:val="18"/>
                <w:szCs w:val="18"/>
                <w:lang w:eastAsia="en-AU"/>
              </w:rPr>
            </w:pPr>
            <w:r w:rsidRPr="003B0E42">
              <w:rPr>
                <w:rFonts w:cs="Arial"/>
                <w:kern w:val="24"/>
                <w:sz w:val="18"/>
                <w:szCs w:val="18"/>
                <w:lang w:eastAsia="en-AU"/>
              </w:rPr>
              <w:t>- 48</w:t>
            </w:r>
            <w:r>
              <w:rPr>
                <w:rFonts w:cs="Arial"/>
                <w:kern w:val="24"/>
                <w:sz w:val="18"/>
                <w:szCs w:val="18"/>
                <w:lang w:eastAsia="en-AU"/>
              </w:rPr>
              <w:t>8</w:t>
            </w:r>
            <w:r w:rsidRPr="003B0E42">
              <w:rPr>
                <w:rFonts w:cs="Arial"/>
                <w:kern w:val="24"/>
                <w:sz w:val="18"/>
                <w:szCs w:val="18"/>
                <w:lang w:eastAsia="en-AU"/>
              </w:rPr>
              <w:t xml:space="preserve"> </w:t>
            </w:r>
          </w:p>
        </w:tc>
        <w:tc>
          <w:tcPr>
            <w:tcW w:w="1225" w:type="dxa"/>
          </w:tcPr>
          <w:p w14:paraId="151B0503" w14:textId="77777777" w:rsidR="002546DF" w:rsidRDefault="002546DF" w:rsidP="009210B8">
            <w:pPr>
              <w:spacing w:after="0" w:line="240" w:lineRule="auto"/>
              <w:jc w:val="right"/>
              <w:textAlignment w:val="center"/>
              <w:rPr>
                <w:rFonts w:cs="Arial"/>
                <w:kern w:val="24"/>
                <w:sz w:val="18"/>
                <w:szCs w:val="18"/>
                <w:lang w:eastAsia="en-AU"/>
              </w:rPr>
            </w:pPr>
            <w:r>
              <w:rPr>
                <w:rFonts w:cs="Arial"/>
                <w:kern w:val="24"/>
                <w:sz w:val="18"/>
                <w:szCs w:val="18"/>
                <w:lang w:eastAsia="en-AU"/>
              </w:rPr>
              <w:t>- 12%</w:t>
            </w:r>
          </w:p>
        </w:tc>
      </w:tr>
      <w:tr w:rsidR="002546DF" w:rsidRPr="003B0E42" w14:paraId="34C5DF9C" w14:textId="77777777" w:rsidTr="00D73C0D">
        <w:trPr>
          <w:trHeight w:val="290"/>
        </w:trPr>
        <w:tc>
          <w:tcPr>
            <w:tcW w:w="3547" w:type="dxa"/>
            <w:shd w:val="clear" w:color="auto" w:fill="auto"/>
            <w:tcMar>
              <w:top w:w="10" w:type="dxa"/>
              <w:left w:w="10" w:type="dxa"/>
              <w:bottom w:w="0" w:type="dxa"/>
              <w:right w:w="10" w:type="dxa"/>
            </w:tcMar>
            <w:vAlign w:val="center"/>
            <w:hideMark/>
          </w:tcPr>
          <w:p w14:paraId="22D9E2D3" w14:textId="77777777" w:rsidR="002546DF" w:rsidRPr="00AF22C7" w:rsidRDefault="002546DF" w:rsidP="009210B8">
            <w:pPr>
              <w:spacing w:after="0" w:line="240" w:lineRule="auto"/>
              <w:textAlignment w:val="center"/>
              <w:rPr>
                <w:rFonts w:ascii="Arial" w:hAnsi="Arial" w:cs="Arial"/>
                <w:b/>
                <w:sz w:val="36"/>
                <w:szCs w:val="36"/>
                <w:lang w:eastAsia="en-AU"/>
              </w:rPr>
            </w:pPr>
            <w:r w:rsidRPr="00AF22C7">
              <w:rPr>
                <w:rFonts w:cs="Arial"/>
                <w:b/>
                <w:kern w:val="24"/>
                <w:sz w:val="18"/>
                <w:szCs w:val="18"/>
                <w:lang w:eastAsia="en-AU"/>
              </w:rPr>
              <w:t>Lung cancer</w:t>
            </w:r>
          </w:p>
        </w:tc>
        <w:tc>
          <w:tcPr>
            <w:tcW w:w="1109" w:type="dxa"/>
            <w:shd w:val="clear" w:color="auto" w:fill="auto"/>
            <w:tcMar>
              <w:top w:w="10" w:type="dxa"/>
              <w:left w:w="10" w:type="dxa"/>
              <w:bottom w:w="0" w:type="dxa"/>
              <w:right w:w="10" w:type="dxa"/>
            </w:tcMar>
            <w:vAlign w:val="center"/>
            <w:hideMark/>
          </w:tcPr>
          <w:p w14:paraId="1BDF74E6" w14:textId="77777777" w:rsidR="002546DF" w:rsidRPr="003B0E42" w:rsidRDefault="002546DF" w:rsidP="009210B8">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40,562</w:t>
            </w:r>
          </w:p>
        </w:tc>
        <w:tc>
          <w:tcPr>
            <w:tcW w:w="1113" w:type="dxa"/>
            <w:shd w:val="clear" w:color="auto" w:fill="auto"/>
            <w:tcMar>
              <w:top w:w="10" w:type="dxa"/>
              <w:left w:w="10" w:type="dxa"/>
              <w:bottom w:w="0" w:type="dxa"/>
              <w:right w:w="10" w:type="dxa"/>
            </w:tcMar>
            <w:vAlign w:val="center"/>
            <w:hideMark/>
          </w:tcPr>
          <w:p w14:paraId="66945087" w14:textId="77777777" w:rsidR="002546DF" w:rsidRPr="003B0E42" w:rsidRDefault="002546DF" w:rsidP="009210B8">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44,446</w:t>
            </w:r>
          </w:p>
        </w:tc>
        <w:tc>
          <w:tcPr>
            <w:tcW w:w="1102" w:type="dxa"/>
            <w:shd w:val="clear" w:color="auto" w:fill="auto"/>
            <w:tcMar>
              <w:top w:w="10" w:type="dxa"/>
              <w:left w:w="10" w:type="dxa"/>
              <w:bottom w:w="0" w:type="dxa"/>
              <w:right w:w="10" w:type="dxa"/>
            </w:tcMar>
            <w:vAlign w:val="center"/>
            <w:hideMark/>
          </w:tcPr>
          <w:p w14:paraId="62E234FD" w14:textId="77777777" w:rsidR="002546DF" w:rsidRPr="003B0E42" w:rsidRDefault="002546DF" w:rsidP="009210B8">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0.91</w:t>
            </w:r>
          </w:p>
        </w:tc>
        <w:tc>
          <w:tcPr>
            <w:tcW w:w="1113" w:type="dxa"/>
            <w:shd w:val="clear" w:color="auto" w:fill="auto"/>
            <w:tcMar>
              <w:top w:w="10" w:type="dxa"/>
              <w:left w:w="10" w:type="dxa"/>
              <w:bottom w:w="0" w:type="dxa"/>
              <w:right w:w="10" w:type="dxa"/>
            </w:tcMar>
            <w:vAlign w:val="center"/>
            <w:hideMark/>
          </w:tcPr>
          <w:p w14:paraId="1B17C7F9" w14:textId="77777777" w:rsidR="002546DF" w:rsidRPr="003B0E42" w:rsidRDefault="002546DF" w:rsidP="009210B8">
            <w:pPr>
              <w:spacing w:after="0" w:line="240" w:lineRule="auto"/>
              <w:jc w:val="right"/>
              <w:textAlignment w:val="center"/>
              <w:rPr>
                <w:rFonts w:ascii="Arial" w:hAnsi="Arial" w:cs="Arial"/>
                <w:sz w:val="36"/>
                <w:szCs w:val="36"/>
                <w:lang w:eastAsia="en-AU"/>
              </w:rPr>
            </w:pPr>
            <w:r w:rsidRPr="003B0E42">
              <w:rPr>
                <w:rFonts w:cs="Arial"/>
                <w:kern w:val="24"/>
                <w:sz w:val="18"/>
                <w:szCs w:val="18"/>
                <w:lang w:eastAsia="en-AU"/>
              </w:rPr>
              <w:t xml:space="preserve">- 3,884 </w:t>
            </w:r>
          </w:p>
        </w:tc>
        <w:tc>
          <w:tcPr>
            <w:tcW w:w="1225" w:type="dxa"/>
          </w:tcPr>
          <w:p w14:paraId="7A5F4ACF" w14:textId="77777777" w:rsidR="002546DF" w:rsidRPr="003B0E42" w:rsidRDefault="002546DF" w:rsidP="009210B8">
            <w:pPr>
              <w:spacing w:after="0" w:line="240" w:lineRule="auto"/>
              <w:jc w:val="right"/>
              <w:textAlignment w:val="center"/>
              <w:rPr>
                <w:rFonts w:cs="Arial"/>
                <w:kern w:val="24"/>
                <w:sz w:val="18"/>
                <w:szCs w:val="18"/>
                <w:lang w:eastAsia="en-AU"/>
              </w:rPr>
            </w:pPr>
            <w:r>
              <w:rPr>
                <w:rFonts w:cs="Arial"/>
                <w:kern w:val="24"/>
                <w:sz w:val="18"/>
                <w:szCs w:val="18"/>
                <w:lang w:eastAsia="en-AU"/>
              </w:rPr>
              <w:t>- 9%</w:t>
            </w:r>
          </w:p>
        </w:tc>
      </w:tr>
      <w:tr w:rsidR="002546DF" w:rsidRPr="003B0E42" w14:paraId="6FCE51E0" w14:textId="77777777" w:rsidTr="00D73C0D">
        <w:trPr>
          <w:trHeight w:val="290"/>
        </w:trPr>
        <w:tc>
          <w:tcPr>
            <w:tcW w:w="3547" w:type="dxa"/>
            <w:shd w:val="clear" w:color="auto" w:fill="auto"/>
            <w:tcMar>
              <w:top w:w="10" w:type="dxa"/>
              <w:left w:w="10" w:type="dxa"/>
              <w:bottom w:w="0" w:type="dxa"/>
              <w:right w:w="10" w:type="dxa"/>
            </w:tcMar>
            <w:vAlign w:val="center"/>
            <w:hideMark/>
          </w:tcPr>
          <w:p w14:paraId="2620399E" w14:textId="77777777" w:rsidR="002546DF" w:rsidRPr="00AF22C7" w:rsidRDefault="002546DF" w:rsidP="009210B8">
            <w:pPr>
              <w:spacing w:after="0" w:line="240" w:lineRule="auto"/>
              <w:textAlignment w:val="center"/>
              <w:rPr>
                <w:rFonts w:ascii="Arial" w:hAnsi="Arial" w:cs="Arial"/>
                <w:b/>
                <w:sz w:val="36"/>
                <w:szCs w:val="36"/>
                <w:lang w:eastAsia="en-AU"/>
              </w:rPr>
            </w:pPr>
            <w:r w:rsidRPr="00AF22C7">
              <w:rPr>
                <w:rFonts w:cs="Arial"/>
                <w:b/>
                <w:kern w:val="24"/>
                <w:sz w:val="18"/>
                <w:szCs w:val="18"/>
                <w:lang w:eastAsia="en-AU"/>
              </w:rPr>
              <w:t>Prostate cancer</w:t>
            </w:r>
            <w:r w:rsidRPr="00AF22C7">
              <w:rPr>
                <w:rStyle w:val="FootnoteReference"/>
                <w:rFonts w:cs="Calibri"/>
                <w:b/>
                <w:sz w:val="18"/>
                <w:szCs w:val="18"/>
              </w:rPr>
              <w:footnoteReference w:id="11"/>
            </w:r>
          </w:p>
        </w:tc>
        <w:tc>
          <w:tcPr>
            <w:tcW w:w="1109" w:type="dxa"/>
            <w:shd w:val="clear" w:color="auto" w:fill="auto"/>
            <w:tcMar>
              <w:top w:w="10" w:type="dxa"/>
              <w:left w:w="10" w:type="dxa"/>
              <w:bottom w:w="0" w:type="dxa"/>
              <w:right w:w="10" w:type="dxa"/>
            </w:tcMar>
            <w:vAlign w:val="center"/>
            <w:hideMark/>
          </w:tcPr>
          <w:p w14:paraId="3D4F22FD" w14:textId="77777777" w:rsidR="002546DF" w:rsidRPr="003B0E42" w:rsidRDefault="002546DF" w:rsidP="009210B8">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713,998</w:t>
            </w:r>
          </w:p>
        </w:tc>
        <w:tc>
          <w:tcPr>
            <w:tcW w:w="1113" w:type="dxa"/>
            <w:shd w:val="clear" w:color="auto" w:fill="auto"/>
            <w:tcMar>
              <w:top w:w="10" w:type="dxa"/>
              <w:left w:w="10" w:type="dxa"/>
              <w:bottom w:w="0" w:type="dxa"/>
              <w:right w:w="10" w:type="dxa"/>
            </w:tcMar>
            <w:vAlign w:val="center"/>
            <w:hideMark/>
          </w:tcPr>
          <w:p w14:paraId="1FFE0D6B" w14:textId="77777777" w:rsidR="002546DF" w:rsidRPr="003B0E42" w:rsidRDefault="002546DF" w:rsidP="009210B8">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764,61</w:t>
            </w:r>
            <w:r>
              <w:rPr>
                <w:rFonts w:cs="Arial"/>
                <w:kern w:val="24"/>
                <w:sz w:val="18"/>
                <w:szCs w:val="18"/>
                <w:lang w:eastAsia="en-AU"/>
              </w:rPr>
              <w:t>7</w:t>
            </w:r>
          </w:p>
        </w:tc>
        <w:tc>
          <w:tcPr>
            <w:tcW w:w="1102" w:type="dxa"/>
            <w:shd w:val="clear" w:color="auto" w:fill="auto"/>
            <w:tcMar>
              <w:top w:w="10" w:type="dxa"/>
              <w:left w:w="10" w:type="dxa"/>
              <w:bottom w:w="0" w:type="dxa"/>
              <w:right w:w="10" w:type="dxa"/>
            </w:tcMar>
            <w:vAlign w:val="center"/>
            <w:hideMark/>
          </w:tcPr>
          <w:p w14:paraId="70557C9D" w14:textId="77777777" w:rsidR="002546DF" w:rsidRPr="003B0E42" w:rsidRDefault="002546DF" w:rsidP="009210B8">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0.93</w:t>
            </w:r>
          </w:p>
        </w:tc>
        <w:tc>
          <w:tcPr>
            <w:tcW w:w="1113" w:type="dxa"/>
            <w:shd w:val="clear" w:color="auto" w:fill="auto"/>
            <w:tcMar>
              <w:top w:w="10" w:type="dxa"/>
              <w:left w:w="10" w:type="dxa"/>
              <w:bottom w:w="0" w:type="dxa"/>
              <w:right w:w="10" w:type="dxa"/>
            </w:tcMar>
            <w:vAlign w:val="center"/>
            <w:hideMark/>
          </w:tcPr>
          <w:p w14:paraId="1A9A7C76" w14:textId="77777777" w:rsidR="002546DF" w:rsidRPr="003B0E42" w:rsidRDefault="002546DF" w:rsidP="009210B8">
            <w:pPr>
              <w:spacing w:after="0" w:line="240" w:lineRule="auto"/>
              <w:jc w:val="right"/>
              <w:textAlignment w:val="center"/>
              <w:rPr>
                <w:rFonts w:ascii="Arial" w:hAnsi="Arial" w:cs="Arial"/>
                <w:sz w:val="36"/>
                <w:szCs w:val="36"/>
                <w:lang w:eastAsia="en-AU"/>
              </w:rPr>
            </w:pPr>
            <w:r w:rsidRPr="003B0E42">
              <w:rPr>
                <w:rFonts w:cs="Arial"/>
                <w:kern w:val="24"/>
                <w:sz w:val="18"/>
                <w:szCs w:val="18"/>
                <w:lang w:eastAsia="en-AU"/>
              </w:rPr>
              <w:t>- 50,61</w:t>
            </w:r>
            <w:r>
              <w:rPr>
                <w:rFonts w:cs="Arial"/>
                <w:kern w:val="24"/>
                <w:sz w:val="18"/>
                <w:szCs w:val="18"/>
                <w:lang w:eastAsia="en-AU"/>
              </w:rPr>
              <w:t>9</w:t>
            </w:r>
            <w:r w:rsidRPr="003B0E42">
              <w:rPr>
                <w:rFonts w:cs="Arial"/>
                <w:kern w:val="24"/>
                <w:sz w:val="18"/>
                <w:szCs w:val="18"/>
                <w:lang w:eastAsia="en-AU"/>
              </w:rPr>
              <w:t xml:space="preserve"> </w:t>
            </w:r>
          </w:p>
        </w:tc>
        <w:tc>
          <w:tcPr>
            <w:tcW w:w="1225" w:type="dxa"/>
          </w:tcPr>
          <w:p w14:paraId="33A58439" w14:textId="77777777" w:rsidR="002546DF" w:rsidRPr="003B0E42" w:rsidRDefault="002546DF" w:rsidP="009210B8">
            <w:pPr>
              <w:spacing w:after="0" w:line="240" w:lineRule="auto"/>
              <w:jc w:val="right"/>
              <w:textAlignment w:val="center"/>
              <w:rPr>
                <w:rFonts w:cs="Arial"/>
                <w:kern w:val="24"/>
                <w:sz w:val="18"/>
                <w:szCs w:val="18"/>
                <w:lang w:eastAsia="en-AU"/>
              </w:rPr>
            </w:pPr>
            <w:r>
              <w:rPr>
                <w:rFonts w:cs="Arial"/>
                <w:kern w:val="24"/>
                <w:sz w:val="18"/>
                <w:szCs w:val="18"/>
                <w:lang w:eastAsia="en-AU"/>
              </w:rPr>
              <w:t>- 7%</w:t>
            </w:r>
          </w:p>
        </w:tc>
      </w:tr>
      <w:tr w:rsidR="002546DF" w:rsidRPr="003B0E42" w14:paraId="1523C9B8" w14:textId="77777777" w:rsidTr="00D73C0D">
        <w:trPr>
          <w:trHeight w:val="290"/>
        </w:trPr>
        <w:tc>
          <w:tcPr>
            <w:tcW w:w="3547" w:type="dxa"/>
            <w:shd w:val="clear" w:color="auto" w:fill="auto"/>
            <w:tcMar>
              <w:top w:w="10" w:type="dxa"/>
              <w:left w:w="10" w:type="dxa"/>
              <w:bottom w:w="0" w:type="dxa"/>
              <w:right w:w="10" w:type="dxa"/>
            </w:tcMar>
            <w:vAlign w:val="center"/>
            <w:hideMark/>
          </w:tcPr>
          <w:p w14:paraId="5927F00A" w14:textId="77777777" w:rsidR="002546DF" w:rsidRPr="00AF22C7" w:rsidRDefault="002546DF" w:rsidP="009210B8">
            <w:pPr>
              <w:spacing w:after="0" w:line="240" w:lineRule="auto"/>
              <w:textAlignment w:val="center"/>
              <w:rPr>
                <w:rFonts w:ascii="Arial" w:hAnsi="Arial" w:cs="Arial"/>
                <w:b/>
                <w:sz w:val="36"/>
                <w:szCs w:val="36"/>
                <w:lang w:eastAsia="en-AU"/>
              </w:rPr>
            </w:pPr>
            <w:r>
              <w:rPr>
                <w:rFonts w:cs="Arial"/>
                <w:b/>
                <w:kern w:val="24"/>
                <w:sz w:val="18"/>
                <w:szCs w:val="18"/>
                <w:lang w:eastAsia="en-AU"/>
              </w:rPr>
              <w:t xml:space="preserve">Stomach and </w:t>
            </w:r>
            <w:r w:rsidRPr="00AF22C7">
              <w:rPr>
                <w:rFonts w:cs="Arial"/>
                <w:b/>
                <w:kern w:val="24"/>
                <w:sz w:val="18"/>
                <w:szCs w:val="18"/>
                <w:lang w:eastAsia="en-AU"/>
              </w:rPr>
              <w:t>pancreatic cancers</w:t>
            </w:r>
            <w:r>
              <w:rPr>
                <w:rStyle w:val="FootnoteReference"/>
                <w:rFonts w:cs="Arial"/>
                <w:b/>
                <w:kern w:val="24"/>
                <w:sz w:val="18"/>
                <w:szCs w:val="18"/>
                <w:lang w:eastAsia="en-AU"/>
              </w:rPr>
              <w:footnoteReference w:id="12"/>
            </w:r>
            <w:r w:rsidRPr="00AF22C7">
              <w:rPr>
                <w:rStyle w:val="FootnoteReference"/>
                <w:rFonts w:cs="Calibri"/>
                <w:b/>
                <w:sz w:val="18"/>
                <w:szCs w:val="18"/>
              </w:rPr>
              <w:footnoteReference w:id="13"/>
            </w:r>
          </w:p>
        </w:tc>
        <w:tc>
          <w:tcPr>
            <w:tcW w:w="1109" w:type="dxa"/>
            <w:shd w:val="clear" w:color="auto" w:fill="auto"/>
            <w:tcMar>
              <w:top w:w="10" w:type="dxa"/>
              <w:left w:w="10" w:type="dxa"/>
              <w:bottom w:w="0" w:type="dxa"/>
              <w:right w:w="10" w:type="dxa"/>
            </w:tcMar>
            <w:vAlign w:val="center"/>
            <w:hideMark/>
          </w:tcPr>
          <w:p w14:paraId="6C309E99" w14:textId="77777777" w:rsidR="002546DF" w:rsidRPr="003B0E42" w:rsidRDefault="002546DF" w:rsidP="009210B8">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12,990</w:t>
            </w:r>
          </w:p>
        </w:tc>
        <w:tc>
          <w:tcPr>
            <w:tcW w:w="1113" w:type="dxa"/>
            <w:shd w:val="clear" w:color="auto" w:fill="auto"/>
            <w:tcMar>
              <w:top w:w="10" w:type="dxa"/>
              <w:left w:w="10" w:type="dxa"/>
              <w:bottom w:w="0" w:type="dxa"/>
              <w:right w:w="10" w:type="dxa"/>
            </w:tcMar>
            <w:vAlign w:val="center"/>
            <w:hideMark/>
          </w:tcPr>
          <w:p w14:paraId="20415429" w14:textId="77777777" w:rsidR="002546DF" w:rsidRPr="003B0E42" w:rsidRDefault="002546DF" w:rsidP="009210B8">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13,8</w:t>
            </w:r>
            <w:r>
              <w:rPr>
                <w:rFonts w:cs="Arial"/>
                <w:kern w:val="24"/>
                <w:sz w:val="18"/>
                <w:szCs w:val="18"/>
                <w:lang w:eastAsia="en-AU"/>
              </w:rPr>
              <w:t>60</w:t>
            </w:r>
          </w:p>
        </w:tc>
        <w:tc>
          <w:tcPr>
            <w:tcW w:w="1102" w:type="dxa"/>
            <w:shd w:val="clear" w:color="auto" w:fill="auto"/>
            <w:tcMar>
              <w:top w:w="10" w:type="dxa"/>
              <w:left w:w="10" w:type="dxa"/>
              <w:bottom w:w="0" w:type="dxa"/>
              <w:right w:w="10" w:type="dxa"/>
            </w:tcMar>
            <w:vAlign w:val="center"/>
            <w:hideMark/>
          </w:tcPr>
          <w:p w14:paraId="0546770C" w14:textId="77777777" w:rsidR="002546DF" w:rsidRPr="003B0E42" w:rsidRDefault="002546DF" w:rsidP="009210B8">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0.94</w:t>
            </w:r>
          </w:p>
        </w:tc>
        <w:tc>
          <w:tcPr>
            <w:tcW w:w="1113" w:type="dxa"/>
            <w:shd w:val="clear" w:color="auto" w:fill="auto"/>
            <w:tcMar>
              <w:top w:w="10" w:type="dxa"/>
              <w:left w:w="10" w:type="dxa"/>
              <w:bottom w:w="0" w:type="dxa"/>
              <w:right w:w="10" w:type="dxa"/>
            </w:tcMar>
            <w:vAlign w:val="center"/>
            <w:hideMark/>
          </w:tcPr>
          <w:p w14:paraId="7B51CC24" w14:textId="77777777" w:rsidR="002546DF" w:rsidRPr="003B0E42" w:rsidRDefault="002546DF" w:rsidP="009210B8">
            <w:pPr>
              <w:spacing w:after="0" w:line="240" w:lineRule="auto"/>
              <w:jc w:val="right"/>
              <w:textAlignment w:val="center"/>
              <w:rPr>
                <w:rFonts w:ascii="Arial" w:hAnsi="Arial" w:cs="Arial"/>
                <w:sz w:val="36"/>
                <w:szCs w:val="36"/>
                <w:lang w:eastAsia="en-AU"/>
              </w:rPr>
            </w:pPr>
            <w:r w:rsidRPr="003B0E42">
              <w:rPr>
                <w:rFonts w:cs="Arial"/>
                <w:kern w:val="24"/>
                <w:sz w:val="18"/>
                <w:szCs w:val="18"/>
                <w:lang w:eastAsia="en-AU"/>
              </w:rPr>
              <w:t>- 8</w:t>
            </w:r>
            <w:r>
              <w:rPr>
                <w:rFonts w:cs="Arial"/>
                <w:kern w:val="24"/>
                <w:sz w:val="18"/>
                <w:szCs w:val="18"/>
                <w:lang w:eastAsia="en-AU"/>
              </w:rPr>
              <w:t>70</w:t>
            </w:r>
            <w:r w:rsidRPr="003B0E42">
              <w:rPr>
                <w:rFonts w:cs="Arial"/>
                <w:kern w:val="24"/>
                <w:sz w:val="18"/>
                <w:szCs w:val="18"/>
                <w:lang w:eastAsia="en-AU"/>
              </w:rPr>
              <w:t xml:space="preserve"> </w:t>
            </w:r>
          </w:p>
        </w:tc>
        <w:tc>
          <w:tcPr>
            <w:tcW w:w="1225" w:type="dxa"/>
          </w:tcPr>
          <w:p w14:paraId="0C11778B" w14:textId="77777777" w:rsidR="002546DF" w:rsidRPr="003B0E42" w:rsidRDefault="002546DF" w:rsidP="009210B8">
            <w:pPr>
              <w:spacing w:after="0" w:line="240" w:lineRule="auto"/>
              <w:jc w:val="right"/>
              <w:textAlignment w:val="center"/>
              <w:rPr>
                <w:rFonts w:cs="Arial"/>
                <w:kern w:val="24"/>
                <w:sz w:val="18"/>
                <w:szCs w:val="18"/>
                <w:lang w:eastAsia="en-AU"/>
              </w:rPr>
            </w:pPr>
            <w:r>
              <w:rPr>
                <w:rFonts w:cs="Arial"/>
                <w:kern w:val="24"/>
                <w:sz w:val="18"/>
                <w:szCs w:val="18"/>
                <w:lang w:eastAsia="en-AU"/>
              </w:rPr>
              <w:t>- 6%</w:t>
            </w:r>
          </w:p>
        </w:tc>
      </w:tr>
      <w:tr w:rsidR="002546DF" w:rsidRPr="003B0E42" w14:paraId="66A56E50" w14:textId="77777777" w:rsidTr="00D73C0D">
        <w:trPr>
          <w:trHeight w:val="290"/>
        </w:trPr>
        <w:tc>
          <w:tcPr>
            <w:tcW w:w="3547" w:type="dxa"/>
            <w:shd w:val="clear" w:color="auto" w:fill="auto"/>
            <w:tcMar>
              <w:top w:w="10" w:type="dxa"/>
              <w:left w:w="10" w:type="dxa"/>
              <w:bottom w:w="0" w:type="dxa"/>
              <w:right w:w="10" w:type="dxa"/>
            </w:tcMar>
            <w:vAlign w:val="center"/>
            <w:hideMark/>
          </w:tcPr>
          <w:p w14:paraId="18FE507E" w14:textId="77777777" w:rsidR="002546DF" w:rsidRPr="00AF22C7" w:rsidRDefault="002546DF" w:rsidP="009210B8">
            <w:pPr>
              <w:spacing w:after="0" w:line="240" w:lineRule="auto"/>
              <w:textAlignment w:val="center"/>
              <w:rPr>
                <w:rFonts w:ascii="Arial" w:hAnsi="Arial" w:cs="Arial"/>
                <w:b/>
                <w:sz w:val="36"/>
                <w:szCs w:val="36"/>
                <w:lang w:eastAsia="en-AU"/>
              </w:rPr>
            </w:pPr>
            <w:r>
              <w:rPr>
                <w:rFonts w:cs="Arial"/>
                <w:b/>
                <w:kern w:val="24"/>
                <w:sz w:val="18"/>
                <w:szCs w:val="18"/>
                <w:lang w:eastAsia="en-AU"/>
              </w:rPr>
              <w:t>Uterine</w:t>
            </w:r>
            <w:r w:rsidRPr="00AF22C7">
              <w:rPr>
                <w:rFonts w:cs="Arial"/>
                <w:b/>
                <w:kern w:val="24"/>
                <w:sz w:val="18"/>
                <w:szCs w:val="18"/>
                <w:lang w:eastAsia="en-AU"/>
              </w:rPr>
              <w:t xml:space="preserve"> cancer</w:t>
            </w:r>
            <w:r>
              <w:rPr>
                <w:rStyle w:val="FootnoteReference"/>
                <w:rFonts w:cs="Arial"/>
                <w:b/>
                <w:kern w:val="24"/>
                <w:sz w:val="18"/>
                <w:szCs w:val="18"/>
                <w:lang w:eastAsia="en-AU"/>
              </w:rPr>
              <w:footnoteReference w:id="14"/>
            </w:r>
          </w:p>
        </w:tc>
        <w:tc>
          <w:tcPr>
            <w:tcW w:w="1109" w:type="dxa"/>
            <w:shd w:val="clear" w:color="auto" w:fill="auto"/>
            <w:tcMar>
              <w:top w:w="10" w:type="dxa"/>
              <w:left w:w="10" w:type="dxa"/>
              <w:bottom w:w="0" w:type="dxa"/>
              <w:right w:w="10" w:type="dxa"/>
            </w:tcMar>
            <w:vAlign w:val="center"/>
            <w:hideMark/>
          </w:tcPr>
          <w:p w14:paraId="6F62B189" w14:textId="77777777" w:rsidR="002546DF" w:rsidRPr="003B0E42" w:rsidRDefault="002546DF" w:rsidP="009210B8">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9,348</w:t>
            </w:r>
          </w:p>
        </w:tc>
        <w:tc>
          <w:tcPr>
            <w:tcW w:w="1113" w:type="dxa"/>
            <w:shd w:val="clear" w:color="auto" w:fill="auto"/>
            <w:tcMar>
              <w:top w:w="10" w:type="dxa"/>
              <w:left w:w="10" w:type="dxa"/>
              <w:bottom w:w="0" w:type="dxa"/>
              <w:right w:w="10" w:type="dxa"/>
            </w:tcMar>
            <w:vAlign w:val="center"/>
            <w:hideMark/>
          </w:tcPr>
          <w:p w14:paraId="3841C4B7" w14:textId="77777777" w:rsidR="002546DF" w:rsidRPr="003B0E42" w:rsidRDefault="002546DF" w:rsidP="009210B8">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9,204</w:t>
            </w:r>
          </w:p>
        </w:tc>
        <w:tc>
          <w:tcPr>
            <w:tcW w:w="1102" w:type="dxa"/>
            <w:shd w:val="clear" w:color="auto" w:fill="auto"/>
            <w:tcMar>
              <w:top w:w="10" w:type="dxa"/>
              <w:left w:w="10" w:type="dxa"/>
              <w:bottom w:w="0" w:type="dxa"/>
              <w:right w:w="10" w:type="dxa"/>
            </w:tcMar>
            <w:vAlign w:val="center"/>
            <w:hideMark/>
          </w:tcPr>
          <w:p w14:paraId="4E246258" w14:textId="77777777" w:rsidR="002546DF" w:rsidRPr="003B0E42" w:rsidRDefault="002546DF" w:rsidP="009210B8">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1.02</w:t>
            </w:r>
          </w:p>
        </w:tc>
        <w:tc>
          <w:tcPr>
            <w:tcW w:w="1113" w:type="dxa"/>
            <w:shd w:val="clear" w:color="auto" w:fill="auto"/>
            <w:tcMar>
              <w:top w:w="10" w:type="dxa"/>
              <w:left w:w="10" w:type="dxa"/>
              <w:bottom w:w="0" w:type="dxa"/>
              <w:right w:w="10" w:type="dxa"/>
            </w:tcMar>
            <w:vAlign w:val="center"/>
            <w:hideMark/>
          </w:tcPr>
          <w:p w14:paraId="64DD96D8" w14:textId="77777777" w:rsidR="002546DF" w:rsidRPr="003B0E42" w:rsidRDefault="002546DF" w:rsidP="009210B8">
            <w:pPr>
              <w:spacing w:after="0" w:line="240" w:lineRule="auto"/>
              <w:jc w:val="right"/>
              <w:textAlignment w:val="center"/>
              <w:rPr>
                <w:rFonts w:ascii="Arial" w:hAnsi="Arial" w:cs="Arial"/>
                <w:sz w:val="36"/>
                <w:szCs w:val="36"/>
                <w:lang w:eastAsia="en-AU"/>
              </w:rPr>
            </w:pPr>
            <w:r>
              <w:rPr>
                <w:rFonts w:cs="Arial"/>
                <w:kern w:val="24"/>
                <w:sz w:val="18"/>
                <w:szCs w:val="18"/>
                <w:lang w:eastAsia="en-AU"/>
              </w:rPr>
              <w:t xml:space="preserve">+ </w:t>
            </w:r>
            <w:r w:rsidRPr="003B0E42">
              <w:rPr>
                <w:rFonts w:cs="Arial"/>
                <w:kern w:val="24"/>
                <w:sz w:val="18"/>
                <w:szCs w:val="18"/>
                <w:lang w:eastAsia="en-AU"/>
              </w:rPr>
              <w:t xml:space="preserve">144 </w:t>
            </w:r>
          </w:p>
        </w:tc>
        <w:tc>
          <w:tcPr>
            <w:tcW w:w="1225" w:type="dxa"/>
          </w:tcPr>
          <w:p w14:paraId="23F0C43F" w14:textId="77777777" w:rsidR="002546DF" w:rsidRPr="003B0E42" w:rsidRDefault="002546DF" w:rsidP="009210B8">
            <w:pPr>
              <w:spacing w:after="0" w:line="240" w:lineRule="auto"/>
              <w:jc w:val="right"/>
              <w:textAlignment w:val="center"/>
              <w:rPr>
                <w:rFonts w:cs="Arial"/>
                <w:kern w:val="24"/>
                <w:sz w:val="18"/>
                <w:szCs w:val="18"/>
                <w:lang w:eastAsia="en-AU"/>
              </w:rPr>
            </w:pPr>
            <w:r>
              <w:rPr>
                <w:rFonts w:cs="Arial"/>
                <w:kern w:val="24"/>
                <w:sz w:val="18"/>
                <w:szCs w:val="18"/>
                <w:lang w:eastAsia="en-AU"/>
              </w:rPr>
              <w:t>+ 2%</w:t>
            </w:r>
          </w:p>
        </w:tc>
      </w:tr>
      <w:tr w:rsidR="002546DF" w:rsidRPr="003B0E42" w14:paraId="470D5335" w14:textId="77777777" w:rsidTr="00D73C0D">
        <w:trPr>
          <w:trHeight w:val="290"/>
        </w:trPr>
        <w:tc>
          <w:tcPr>
            <w:tcW w:w="3547" w:type="dxa"/>
            <w:shd w:val="clear" w:color="auto" w:fill="808080"/>
            <w:tcMar>
              <w:top w:w="10" w:type="dxa"/>
              <w:left w:w="10" w:type="dxa"/>
              <w:bottom w:w="0" w:type="dxa"/>
              <w:right w:w="10" w:type="dxa"/>
            </w:tcMar>
            <w:vAlign w:val="center"/>
            <w:hideMark/>
          </w:tcPr>
          <w:p w14:paraId="7385F390" w14:textId="77777777" w:rsidR="002546DF" w:rsidRPr="002546DF" w:rsidRDefault="002546DF" w:rsidP="009210B8">
            <w:pPr>
              <w:spacing w:after="0" w:line="240" w:lineRule="auto"/>
              <w:textAlignment w:val="center"/>
              <w:rPr>
                <w:rFonts w:ascii="Arial" w:hAnsi="Arial" w:cs="Arial"/>
                <w:b/>
                <w:color w:val="FFFFFF"/>
                <w:sz w:val="36"/>
                <w:szCs w:val="36"/>
                <w:lang w:eastAsia="en-AU"/>
              </w:rPr>
            </w:pPr>
            <w:r w:rsidRPr="002546DF">
              <w:rPr>
                <w:rFonts w:cs="Arial"/>
                <w:b/>
                <w:color w:val="FFFFFF"/>
                <w:kern w:val="24"/>
                <w:sz w:val="18"/>
                <w:szCs w:val="18"/>
                <w:lang w:eastAsia="en-AU"/>
              </w:rPr>
              <w:t>Total diagnostic procedures</w:t>
            </w:r>
          </w:p>
        </w:tc>
        <w:tc>
          <w:tcPr>
            <w:tcW w:w="1109" w:type="dxa"/>
            <w:shd w:val="clear" w:color="auto" w:fill="808080"/>
            <w:tcMar>
              <w:top w:w="10" w:type="dxa"/>
              <w:left w:w="10" w:type="dxa"/>
              <w:bottom w:w="0" w:type="dxa"/>
              <w:right w:w="10" w:type="dxa"/>
            </w:tcMar>
            <w:vAlign w:val="center"/>
            <w:hideMark/>
          </w:tcPr>
          <w:p w14:paraId="74DDC8DB" w14:textId="77777777" w:rsidR="002546DF" w:rsidRPr="002546DF" w:rsidRDefault="002546DF" w:rsidP="009210B8">
            <w:pPr>
              <w:spacing w:after="0" w:line="240" w:lineRule="auto"/>
              <w:jc w:val="center"/>
              <w:textAlignment w:val="center"/>
              <w:rPr>
                <w:rFonts w:ascii="Arial" w:hAnsi="Arial" w:cs="Arial"/>
                <w:b/>
                <w:color w:val="FFFFFF"/>
                <w:sz w:val="36"/>
                <w:szCs w:val="36"/>
                <w:lang w:eastAsia="en-AU"/>
              </w:rPr>
            </w:pPr>
            <w:r w:rsidRPr="002546DF">
              <w:rPr>
                <w:rFonts w:cs="Arial"/>
                <w:b/>
                <w:color w:val="FFFFFF"/>
                <w:kern w:val="24"/>
                <w:sz w:val="18"/>
                <w:szCs w:val="18"/>
                <w:lang w:eastAsia="en-AU"/>
              </w:rPr>
              <w:t>1,912,542</w:t>
            </w:r>
          </w:p>
        </w:tc>
        <w:tc>
          <w:tcPr>
            <w:tcW w:w="1113" w:type="dxa"/>
            <w:shd w:val="clear" w:color="auto" w:fill="808080"/>
            <w:tcMar>
              <w:top w:w="10" w:type="dxa"/>
              <w:left w:w="10" w:type="dxa"/>
              <w:bottom w:w="0" w:type="dxa"/>
              <w:right w:w="10" w:type="dxa"/>
            </w:tcMar>
            <w:vAlign w:val="center"/>
            <w:hideMark/>
          </w:tcPr>
          <w:p w14:paraId="7B6F68F9" w14:textId="77777777" w:rsidR="002546DF" w:rsidRPr="002546DF" w:rsidRDefault="002546DF" w:rsidP="009210B8">
            <w:pPr>
              <w:spacing w:after="0" w:line="240" w:lineRule="auto"/>
              <w:jc w:val="center"/>
              <w:textAlignment w:val="center"/>
              <w:rPr>
                <w:rFonts w:ascii="Arial" w:hAnsi="Arial" w:cs="Arial"/>
                <w:b/>
                <w:color w:val="FFFFFF"/>
                <w:sz w:val="36"/>
                <w:szCs w:val="36"/>
                <w:lang w:eastAsia="en-AU"/>
              </w:rPr>
            </w:pPr>
            <w:r w:rsidRPr="002546DF">
              <w:rPr>
                <w:rFonts w:cs="Arial"/>
                <w:b/>
                <w:color w:val="FFFFFF"/>
                <w:kern w:val="24"/>
                <w:sz w:val="18"/>
                <w:szCs w:val="18"/>
                <w:lang w:eastAsia="en-AU"/>
              </w:rPr>
              <w:t>2,076,137</w:t>
            </w:r>
          </w:p>
        </w:tc>
        <w:tc>
          <w:tcPr>
            <w:tcW w:w="1102" w:type="dxa"/>
            <w:shd w:val="clear" w:color="auto" w:fill="808080"/>
            <w:tcMar>
              <w:top w:w="10" w:type="dxa"/>
              <w:left w:w="10" w:type="dxa"/>
              <w:bottom w:w="0" w:type="dxa"/>
              <w:right w:w="10" w:type="dxa"/>
            </w:tcMar>
            <w:vAlign w:val="center"/>
            <w:hideMark/>
          </w:tcPr>
          <w:p w14:paraId="7C1B1C8D" w14:textId="77777777" w:rsidR="002546DF" w:rsidRPr="002546DF" w:rsidRDefault="002546DF" w:rsidP="009210B8">
            <w:pPr>
              <w:spacing w:after="0" w:line="240" w:lineRule="auto"/>
              <w:jc w:val="center"/>
              <w:textAlignment w:val="center"/>
              <w:rPr>
                <w:rFonts w:ascii="Arial" w:hAnsi="Arial" w:cs="Arial"/>
                <w:b/>
                <w:color w:val="FFFFFF"/>
                <w:sz w:val="36"/>
                <w:szCs w:val="36"/>
                <w:lang w:eastAsia="en-AU"/>
              </w:rPr>
            </w:pPr>
            <w:r w:rsidRPr="002546DF">
              <w:rPr>
                <w:rFonts w:cs="Arial"/>
                <w:b/>
                <w:color w:val="FFFFFF"/>
                <w:kern w:val="24"/>
                <w:sz w:val="18"/>
                <w:szCs w:val="18"/>
                <w:lang w:eastAsia="en-AU"/>
              </w:rPr>
              <w:t>0.92</w:t>
            </w:r>
          </w:p>
        </w:tc>
        <w:tc>
          <w:tcPr>
            <w:tcW w:w="1113" w:type="dxa"/>
            <w:shd w:val="clear" w:color="auto" w:fill="808080"/>
            <w:tcMar>
              <w:top w:w="10" w:type="dxa"/>
              <w:left w:w="10" w:type="dxa"/>
              <w:bottom w:w="0" w:type="dxa"/>
              <w:right w:w="10" w:type="dxa"/>
            </w:tcMar>
            <w:vAlign w:val="center"/>
            <w:hideMark/>
          </w:tcPr>
          <w:p w14:paraId="3723566B" w14:textId="77777777" w:rsidR="002546DF" w:rsidRPr="002546DF" w:rsidRDefault="002546DF" w:rsidP="009210B8">
            <w:pPr>
              <w:spacing w:after="0" w:line="240" w:lineRule="auto"/>
              <w:jc w:val="right"/>
              <w:textAlignment w:val="center"/>
              <w:rPr>
                <w:rFonts w:ascii="Arial" w:hAnsi="Arial" w:cs="Arial"/>
                <w:b/>
                <w:color w:val="FFFFFF"/>
                <w:sz w:val="36"/>
                <w:szCs w:val="36"/>
                <w:lang w:eastAsia="en-AU"/>
              </w:rPr>
            </w:pPr>
            <w:r w:rsidRPr="002546DF">
              <w:rPr>
                <w:rFonts w:cs="Arial"/>
                <w:b/>
                <w:color w:val="FFFFFF"/>
                <w:kern w:val="24"/>
                <w:sz w:val="18"/>
                <w:szCs w:val="18"/>
                <w:lang w:eastAsia="en-AU"/>
              </w:rPr>
              <w:t xml:space="preserve">- 163,595 </w:t>
            </w:r>
          </w:p>
        </w:tc>
        <w:tc>
          <w:tcPr>
            <w:tcW w:w="1225" w:type="dxa"/>
            <w:shd w:val="clear" w:color="auto" w:fill="808080"/>
          </w:tcPr>
          <w:p w14:paraId="61B710D3" w14:textId="77777777" w:rsidR="002546DF" w:rsidRPr="002546DF" w:rsidRDefault="002546DF" w:rsidP="009210B8">
            <w:pPr>
              <w:spacing w:after="0" w:line="240" w:lineRule="auto"/>
              <w:jc w:val="right"/>
              <w:textAlignment w:val="center"/>
              <w:rPr>
                <w:rFonts w:cs="Arial"/>
                <w:b/>
                <w:color w:val="FFFFFF"/>
                <w:kern w:val="24"/>
                <w:sz w:val="18"/>
                <w:szCs w:val="18"/>
                <w:lang w:eastAsia="en-AU"/>
              </w:rPr>
            </w:pPr>
            <w:r w:rsidRPr="002546DF">
              <w:rPr>
                <w:rFonts w:cs="Arial"/>
                <w:b/>
                <w:color w:val="FFFFFF"/>
                <w:kern w:val="24"/>
                <w:sz w:val="18"/>
                <w:szCs w:val="18"/>
                <w:lang w:eastAsia="en-AU"/>
              </w:rPr>
              <w:t>- 8%</w:t>
            </w:r>
          </w:p>
        </w:tc>
      </w:tr>
    </w:tbl>
    <w:p w14:paraId="653DE8F3" w14:textId="77777777" w:rsidR="002546DF" w:rsidRDefault="002546DF" w:rsidP="00BB091E"/>
    <w:p w14:paraId="131EA42C" w14:textId="77777777" w:rsidR="00225E8F" w:rsidRDefault="00225E8F" w:rsidP="00225E8F">
      <w:pPr>
        <w:pStyle w:val="FigureName"/>
        <w:spacing w:before="480" w:after="200"/>
        <w:ind w:left="1077" w:hanging="1077"/>
        <w:rPr>
          <w:b w:val="0"/>
        </w:rPr>
      </w:pPr>
      <w:bookmarkStart w:id="14" w:name="_Toc83720976"/>
      <w:r>
        <w:lastRenderedPageBreak/>
        <w:t>Figure 1</w:t>
      </w:r>
      <w:r>
        <w:tab/>
      </w:r>
      <w:r w:rsidR="00AF6449" w:rsidRPr="00AF6449">
        <w:t>Ratio of the observed to expected number of services for selected cancer-related diagnostic procedures for 2020, by cancer type</w:t>
      </w:r>
      <w:bookmarkEnd w:id="14"/>
      <w:r>
        <w:rPr>
          <w:b w:val="0"/>
        </w:rPr>
        <w:br/>
      </w:r>
    </w:p>
    <w:p w14:paraId="198CE30F" w14:textId="77777777" w:rsidR="00225E8F" w:rsidRDefault="00834120" w:rsidP="00225E8F">
      <w:pPr>
        <w:jc w:val="center"/>
        <w:rPr>
          <w:sz w:val="12"/>
        </w:rPr>
      </w:pPr>
      <w:r>
        <w:rPr>
          <w:noProof/>
          <w:sz w:val="12"/>
        </w:rPr>
        <w:drawing>
          <wp:inline distT="0" distB="0" distL="0" distR="0" wp14:anchorId="214810D0" wp14:editId="0DB1A434">
            <wp:extent cx="4383405" cy="3005455"/>
            <wp:effectExtent l="0" t="0" r="0" b="0"/>
            <wp:docPr id="1" name="Picture 3" descr="The figure depicts the ratio of observed to expected services for annual cancer-related diagnostic procedures by cancer type for the 12 month period January to December 2020. The plot contains a reference line where the number of observed services are equivalent or similar to the number of expected services, which includes breast and uterine cancer. Where the dot is below the reference line, the observed services are lower than expected, which includes colorectal, liver, lung, prostate, stomach and pancreatic cancer. Where the dot is above the reference line, the observed services are greater than expected, which includes kidney 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3405" cy="3005455"/>
                    </a:xfrm>
                    <a:prstGeom prst="rect">
                      <a:avLst/>
                    </a:prstGeom>
                    <a:noFill/>
                  </pic:spPr>
                </pic:pic>
              </a:graphicData>
            </a:graphic>
          </wp:inline>
        </w:drawing>
      </w:r>
    </w:p>
    <w:p w14:paraId="4CEF7D55" w14:textId="77777777" w:rsidR="00BB091E" w:rsidRPr="00AC7C9A" w:rsidRDefault="001C0286" w:rsidP="00BB091E">
      <w:pPr>
        <w:pStyle w:val="Heading2"/>
        <w:tabs>
          <w:tab w:val="clear" w:pos="1572"/>
          <w:tab w:val="num" w:pos="709"/>
        </w:tabs>
        <w:ind w:left="709" w:hanging="709"/>
        <w:rPr>
          <w:kern w:val="32"/>
        </w:rPr>
      </w:pPr>
      <w:bookmarkStart w:id="15" w:name="_Toc84363180"/>
      <w:r>
        <w:t>Breast cancer</w:t>
      </w:r>
      <w:bookmarkEnd w:id="15"/>
      <w:r w:rsidR="00BB091E">
        <w:t xml:space="preserve"> </w:t>
      </w:r>
    </w:p>
    <w:p w14:paraId="1AA7F947" w14:textId="77777777" w:rsidR="00AC7C9A" w:rsidRDefault="00AC7C9A" w:rsidP="00440D08">
      <w:pPr>
        <w:rPr>
          <w:i/>
          <w:szCs w:val="20"/>
          <w:highlight w:val="yellow"/>
        </w:rPr>
      </w:pPr>
      <w:r w:rsidRPr="009F4646">
        <w:rPr>
          <w:szCs w:val="20"/>
        </w:rPr>
        <w:t>Diagnostic procedures for the detection of breast cancer include imaging and surgical procedures. MBS data examined for these analyses included diagnostic mammography and 3D-tomosynthesis where malignancy is suspected, magnetic resonance imaging (MRI) for breast cancer, and surgical biopsy procedures. The latter include solid tumour breast biopsies and fine needle aspiration procedures and associated lymph node procedures, such as sentinel lymph node biopsy.</w:t>
      </w:r>
      <w:r w:rsidRPr="00843FD8">
        <w:rPr>
          <w:i/>
          <w:szCs w:val="20"/>
          <w:highlight w:val="yellow"/>
        </w:rPr>
        <w:t xml:space="preserve"> </w:t>
      </w:r>
    </w:p>
    <w:p w14:paraId="3912D2A3" w14:textId="291B1CEF" w:rsidR="00AC7C9A" w:rsidRPr="00590DC5" w:rsidRDefault="00AC7C9A" w:rsidP="00440D08">
      <w:pPr>
        <w:rPr>
          <w:szCs w:val="20"/>
        </w:rPr>
      </w:pPr>
      <w:bookmarkStart w:id="16" w:name="_Hlk81144519"/>
      <w:bookmarkStart w:id="17" w:name="_Hlk77594952"/>
      <w:r w:rsidRPr="001568D1">
        <w:rPr>
          <w:szCs w:val="20"/>
        </w:rPr>
        <w:t xml:space="preserve">In 2020, </w:t>
      </w:r>
      <w:bookmarkStart w:id="18" w:name="_Hlk81400849"/>
      <w:r w:rsidRPr="001568D1">
        <w:rPr>
          <w:szCs w:val="20"/>
        </w:rPr>
        <w:t xml:space="preserve">the observed number of services nationally for </w:t>
      </w:r>
      <w:r>
        <w:rPr>
          <w:szCs w:val="20"/>
        </w:rPr>
        <w:t>breast</w:t>
      </w:r>
      <w:r w:rsidRPr="001568D1">
        <w:rPr>
          <w:szCs w:val="20"/>
        </w:rPr>
        <w:t xml:space="preserve"> cancer-related diagnostic procedures was </w:t>
      </w:r>
      <w:r>
        <w:rPr>
          <w:szCs w:val="20"/>
        </w:rPr>
        <w:t>similar to</w:t>
      </w:r>
      <w:r w:rsidRPr="001568D1">
        <w:rPr>
          <w:szCs w:val="20"/>
        </w:rPr>
        <w:t xml:space="preserve"> expected</w:t>
      </w:r>
      <w:r>
        <w:rPr>
          <w:szCs w:val="20"/>
        </w:rPr>
        <w:t>, that is, less than 5% difference</w:t>
      </w:r>
      <w:r w:rsidRPr="001568D1">
        <w:rPr>
          <w:szCs w:val="20"/>
        </w:rPr>
        <w:t xml:space="preserve"> </w:t>
      </w:r>
      <w:r>
        <w:rPr>
          <w:szCs w:val="20"/>
        </w:rPr>
        <w:t xml:space="preserve">(4% lower, with 20,672 fewer services; 520,613 </w:t>
      </w:r>
      <w:r w:rsidRPr="001568D1">
        <w:rPr>
          <w:szCs w:val="20"/>
        </w:rPr>
        <w:t>services observed</w:t>
      </w:r>
      <w:r>
        <w:rPr>
          <w:szCs w:val="20"/>
        </w:rPr>
        <w:t xml:space="preserve"> versus 541,285</w:t>
      </w:r>
      <w:r w:rsidRPr="001568D1">
        <w:rPr>
          <w:szCs w:val="20"/>
        </w:rPr>
        <w:t xml:space="preserve"> services expected)</w:t>
      </w:r>
      <w:r>
        <w:rPr>
          <w:szCs w:val="20"/>
        </w:rPr>
        <w:t xml:space="preserve"> </w:t>
      </w:r>
      <w:bookmarkEnd w:id="18"/>
      <w:r>
        <w:rPr>
          <w:szCs w:val="20"/>
        </w:rPr>
        <w:t>[</w:t>
      </w:r>
      <w:r w:rsidRPr="0096072B">
        <w:rPr>
          <w:szCs w:val="20"/>
          <w:highlight w:val="yellow"/>
        </w:rPr>
        <w:fldChar w:fldCharType="begin"/>
      </w:r>
      <w:r w:rsidRPr="0096072B">
        <w:rPr>
          <w:szCs w:val="20"/>
          <w:highlight w:val="yellow"/>
        </w:rPr>
        <w:instrText xml:space="preserve"> REF _Ref79599482 \h </w:instrText>
      </w:r>
      <w:r>
        <w:rPr>
          <w:szCs w:val="20"/>
          <w:highlight w:val="yellow"/>
        </w:rPr>
        <w:instrText xml:space="preserve"> \* MERGEFORMAT </w:instrText>
      </w:r>
      <w:r w:rsidRPr="0096072B">
        <w:rPr>
          <w:szCs w:val="20"/>
          <w:highlight w:val="yellow"/>
        </w:rPr>
      </w:r>
      <w:r w:rsidRPr="0096072B">
        <w:rPr>
          <w:szCs w:val="20"/>
          <w:highlight w:val="yellow"/>
        </w:rPr>
        <w:fldChar w:fldCharType="separate"/>
      </w:r>
      <w:r w:rsidR="00533EE6" w:rsidRPr="00533EE6">
        <w:rPr>
          <w:szCs w:val="20"/>
        </w:rPr>
        <w:t>Table 1</w:t>
      </w:r>
      <w:r w:rsidRPr="0096072B">
        <w:rPr>
          <w:szCs w:val="20"/>
          <w:highlight w:val="yellow"/>
        </w:rPr>
        <w:fldChar w:fldCharType="end"/>
      </w:r>
      <w:r w:rsidRPr="0096072B">
        <w:rPr>
          <w:szCs w:val="20"/>
        </w:rPr>
        <w:t>;</w:t>
      </w:r>
      <w:r w:rsidR="00934991">
        <w:rPr>
          <w:szCs w:val="20"/>
        </w:rPr>
        <w:t xml:space="preserve"> Figure 1</w:t>
      </w:r>
      <w:r>
        <w:rPr>
          <w:szCs w:val="20"/>
        </w:rPr>
        <w:t>]</w:t>
      </w:r>
      <w:r w:rsidRPr="001568D1">
        <w:rPr>
          <w:szCs w:val="20"/>
        </w:rPr>
        <w:t>.</w:t>
      </w:r>
      <w:r>
        <w:rPr>
          <w:noProof/>
          <w:szCs w:val="20"/>
        </w:rPr>
        <w:t xml:space="preserve"> </w:t>
      </w:r>
    </w:p>
    <w:bookmarkEnd w:id="16"/>
    <w:p w14:paraId="222799BF" w14:textId="77777777" w:rsidR="00AC7C9A" w:rsidRPr="00AC7C9A" w:rsidRDefault="00AC7C9A" w:rsidP="00440D08">
      <w:pPr>
        <w:rPr>
          <w:noProof/>
          <w:szCs w:val="20"/>
        </w:rPr>
      </w:pPr>
      <w:r w:rsidRPr="00E31B41">
        <w:rPr>
          <w:szCs w:val="20"/>
        </w:rPr>
        <w:t xml:space="preserve">The observed number of services for 2020 was 14% lower than expected for SA/NT and 6% lower than expected for QLD. The observed number of services was similar to expected for NSW/ACT (3% lower), VIC/TAS (2% lower) and WA (4% higher) </w:t>
      </w:r>
      <w:bookmarkStart w:id="19" w:name="_Hlk83627629"/>
      <w:r w:rsidRPr="00E31B41">
        <w:rPr>
          <w:szCs w:val="20"/>
        </w:rPr>
        <w:t>[</w:t>
      </w:r>
      <w:r w:rsidR="004F3E26">
        <w:rPr>
          <w:szCs w:val="20"/>
        </w:rPr>
        <w:t>Table B1</w:t>
      </w:r>
      <w:r w:rsidRPr="00E31B41">
        <w:rPr>
          <w:szCs w:val="20"/>
        </w:rPr>
        <w:t xml:space="preserve">; </w:t>
      </w:r>
      <w:r w:rsidR="00934991">
        <w:rPr>
          <w:szCs w:val="20"/>
        </w:rPr>
        <w:t>Figure 1</w:t>
      </w:r>
      <w:bookmarkEnd w:id="19"/>
      <w:r w:rsidR="00934991">
        <w:rPr>
          <w:szCs w:val="20"/>
        </w:rPr>
        <w:t>.1</w:t>
      </w:r>
      <w:r w:rsidRPr="00E31B41">
        <w:rPr>
          <w:szCs w:val="20"/>
        </w:rPr>
        <w:t>]. For each state/territory:</w:t>
      </w:r>
    </w:p>
    <w:p w14:paraId="644208C1" w14:textId="77777777" w:rsidR="00AC7C9A" w:rsidRPr="00AC7C9A" w:rsidRDefault="00AC7C9A" w:rsidP="00440D08">
      <w:pPr>
        <w:pStyle w:val="ListParagraph"/>
        <w:numPr>
          <w:ilvl w:val="0"/>
          <w:numId w:val="6"/>
        </w:numPr>
        <w:spacing w:line="280" w:lineRule="atLeast"/>
        <w:ind w:left="714" w:hanging="357"/>
        <w:jc w:val="both"/>
        <w:rPr>
          <w:rFonts w:ascii="Century Gothic" w:hAnsi="Century Gothic"/>
          <w:noProof/>
          <w:color w:val="000000"/>
          <w:sz w:val="20"/>
          <w:szCs w:val="20"/>
        </w:rPr>
      </w:pPr>
      <w:r w:rsidRPr="00B4767C">
        <w:rPr>
          <w:rFonts w:ascii="Century Gothic" w:hAnsi="Century Gothic"/>
          <w:sz w:val="20"/>
          <w:szCs w:val="20"/>
        </w:rPr>
        <w:t xml:space="preserve">The observed number of services was </w:t>
      </w:r>
      <w:r w:rsidRPr="00AC7C9A">
        <w:rPr>
          <w:rFonts w:ascii="Century Gothic" w:hAnsi="Century Gothic"/>
          <w:noProof/>
          <w:color w:val="000000"/>
          <w:sz w:val="20"/>
          <w:szCs w:val="20"/>
        </w:rPr>
        <w:t>14% lower than expected</w:t>
      </w:r>
      <w:r w:rsidRPr="00AC7C9A">
        <w:rPr>
          <w:rFonts w:ascii="Century Gothic" w:hAnsi="Century Gothic"/>
          <w:color w:val="000000"/>
          <w:sz w:val="20"/>
          <w:szCs w:val="20"/>
        </w:rPr>
        <w:t xml:space="preserve"> for </w:t>
      </w:r>
      <w:r w:rsidRPr="00B4767C">
        <w:rPr>
          <w:rFonts w:ascii="Century Gothic" w:hAnsi="Century Gothic"/>
          <w:sz w:val="20"/>
          <w:szCs w:val="20"/>
        </w:rPr>
        <w:t>SA/NT</w:t>
      </w:r>
      <w:r w:rsidRPr="00AC7C9A">
        <w:rPr>
          <w:rFonts w:ascii="Century Gothic" w:hAnsi="Century Gothic"/>
          <w:noProof/>
          <w:color w:val="000000"/>
          <w:sz w:val="20"/>
          <w:szCs w:val="20"/>
        </w:rPr>
        <w:t>, with 6,295 fewer services</w:t>
      </w:r>
      <w:r w:rsidRPr="00AC7C9A">
        <w:rPr>
          <w:rFonts w:ascii="Century Gothic" w:hAnsi="Century Gothic"/>
          <w:color w:val="000000"/>
          <w:sz w:val="20"/>
          <w:szCs w:val="20"/>
        </w:rPr>
        <w:t xml:space="preserve"> </w:t>
      </w:r>
      <w:r w:rsidRPr="00AC7C9A">
        <w:rPr>
          <w:rFonts w:ascii="Century Gothic" w:hAnsi="Century Gothic"/>
          <w:noProof/>
          <w:color w:val="000000"/>
          <w:sz w:val="20"/>
          <w:szCs w:val="20"/>
        </w:rPr>
        <w:t>(37,956 services observed versus 44,251 services expected);</w:t>
      </w:r>
      <w:r w:rsidRPr="00B4767C">
        <w:rPr>
          <w:rFonts w:ascii="Century Gothic" w:hAnsi="Century Gothic"/>
          <w:sz w:val="20"/>
          <w:szCs w:val="20"/>
        </w:rPr>
        <w:t xml:space="preserve"> and </w:t>
      </w:r>
      <w:r w:rsidRPr="00AC7C9A">
        <w:rPr>
          <w:rFonts w:ascii="Century Gothic" w:hAnsi="Century Gothic"/>
          <w:noProof/>
          <w:color w:val="000000"/>
          <w:sz w:val="20"/>
          <w:szCs w:val="20"/>
        </w:rPr>
        <w:t>6% lower than expected</w:t>
      </w:r>
      <w:r w:rsidRPr="00B4767C">
        <w:rPr>
          <w:rFonts w:ascii="Century Gothic" w:hAnsi="Century Gothic"/>
          <w:sz w:val="20"/>
          <w:szCs w:val="20"/>
        </w:rPr>
        <w:t xml:space="preserve"> for QLD</w:t>
      </w:r>
      <w:r w:rsidRPr="00AC7C9A">
        <w:rPr>
          <w:rFonts w:ascii="Century Gothic" w:hAnsi="Century Gothic"/>
          <w:noProof/>
          <w:color w:val="000000"/>
          <w:sz w:val="20"/>
          <w:szCs w:val="20"/>
        </w:rPr>
        <w:t xml:space="preserve">, with 6,796 fewer services (105,964 services observed versus 112,760 services expected). </w:t>
      </w:r>
      <w:r w:rsidRPr="00B4767C">
        <w:rPr>
          <w:rFonts w:ascii="Century Gothic" w:hAnsi="Century Gothic"/>
          <w:sz w:val="20"/>
          <w:szCs w:val="20"/>
        </w:rPr>
        <w:t xml:space="preserve">The observed number of services was similar to expected for </w:t>
      </w:r>
      <w:r w:rsidRPr="00AC7C9A">
        <w:rPr>
          <w:rFonts w:ascii="Century Gothic" w:hAnsi="Century Gothic"/>
          <w:noProof/>
          <w:color w:val="000000"/>
          <w:sz w:val="20"/>
          <w:szCs w:val="20"/>
        </w:rPr>
        <w:t>WA</w:t>
      </w:r>
      <w:r w:rsidRPr="00B4767C">
        <w:rPr>
          <w:rFonts w:ascii="Century Gothic" w:hAnsi="Century Gothic"/>
          <w:sz w:val="20"/>
          <w:szCs w:val="20"/>
        </w:rPr>
        <w:t xml:space="preserve"> (</w:t>
      </w:r>
      <w:r w:rsidRPr="00AC7C9A">
        <w:rPr>
          <w:rFonts w:ascii="Century Gothic" w:hAnsi="Century Gothic"/>
          <w:noProof/>
          <w:color w:val="000000"/>
          <w:sz w:val="20"/>
          <w:szCs w:val="20"/>
        </w:rPr>
        <w:t xml:space="preserve">4% higher), with 1,630 more services (40,531 services observed versus 42,161 services expected); </w:t>
      </w:r>
      <w:r w:rsidRPr="00B4767C">
        <w:rPr>
          <w:rFonts w:ascii="Century Gothic" w:hAnsi="Century Gothic"/>
          <w:sz w:val="20"/>
          <w:szCs w:val="20"/>
        </w:rPr>
        <w:t>NSW/ACT (</w:t>
      </w:r>
      <w:r w:rsidRPr="00AC7C9A">
        <w:rPr>
          <w:rFonts w:ascii="Century Gothic" w:hAnsi="Century Gothic"/>
          <w:noProof/>
          <w:color w:val="000000"/>
          <w:sz w:val="20"/>
          <w:szCs w:val="20"/>
        </w:rPr>
        <w:t xml:space="preserve">3% lower), with 6,688 fewer services (202,034 services observed versus 208,722 services expected); and VIC/TAS (2% lower), with 2,523 fewer services (132,498 services observed versus 135,021 services expected) </w:t>
      </w:r>
      <w:r w:rsidR="004F3E26" w:rsidRPr="004F3E26">
        <w:rPr>
          <w:rFonts w:ascii="Century Gothic" w:hAnsi="Century Gothic"/>
          <w:sz w:val="20"/>
          <w:szCs w:val="20"/>
        </w:rPr>
        <w:t>[Table B1; Figure 1</w:t>
      </w:r>
      <w:r w:rsidR="00934991">
        <w:rPr>
          <w:rFonts w:ascii="Century Gothic" w:hAnsi="Century Gothic"/>
          <w:sz w:val="20"/>
          <w:szCs w:val="20"/>
        </w:rPr>
        <w:t>.1</w:t>
      </w:r>
      <w:r w:rsidRPr="00B4767C">
        <w:rPr>
          <w:rFonts w:ascii="Century Gothic" w:hAnsi="Century Gothic"/>
          <w:sz w:val="20"/>
          <w:szCs w:val="20"/>
        </w:rPr>
        <w:t>]</w:t>
      </w:r>
      <w:r w:rsidRPr="00AC7C9A">
        <w:rPr>
          <w:rFonts w:ascii="Century Gothic" w:hAnsi="Century Gothic"/>
          <w:noProof/>
          <w:color w:val="000000"/>
          <w:sz w:val="20"/>
          <w:szCs w:val="20"/>
        </w:rPr>
        <w:t>.</w:t>
      </w:r>
    </w:p>
    <w:p w14:paraId="5456C22F" w14:textId="77777777" w:rsidR="00AC7C9A" w:rsidRDefault="00AC7C9A" w:rsidP="00440D08">
      <w:pPr>
        <w:rPr>
          <w:szCs w:val="20"/>
        </w:rPr>
      </w:pPr>
      <w:r>
        <w:rPr>
          <w:szCs w:val="20"/>
        </w:rPr>
        <w:lastRenderedPageBreak/>
        <w:t xml:space="preserve">The observed and expected number of diagnostic services related to breast cancer for 2020 for each state and territory are provided in Appendix </w:t>
      </w:r>
      <w:r w:rsidR="004F3E26">
        <w:rPr>
          <w:szCs w:val="20"/>
        </w:rPr>
        <w:t>Table B1</w:t>
      </w:r>
      <w:r w:rsidRPr="00395B12">
        <w:rPr>
          <w:szCs w:val="20"/>
        </w:rPr>
        <w:t>.</w:t>
      </w:r>
    </w:p>
    <w:p w14:paraId="1F645866" w14:textId="77777777" w:rsidR="00AC7C9A" w:rsidRPr="00202411" w:rsidRDefault="00AD245A" w:rsidP="00AD245A">
      <w:pPr>
        <w:pStyle w:val="FigureName"/>
        <w:spacing w:before="480" w:after="200"/>
        <w:ind w:left="1077" w:hanging="1077"/>
      </w:pPr>
      <w:bookmarkStart w:id="20" w:name="_Toc83365201"/>
      <w:bookmarkStart w:id="21" w:name="_Toc83720977"/>
      <w:r>
        <w:t>Figure 1.1</w:t>
      </w:r>
      <w:r>
        <w:tab/>
      </w:r>
      <w:r w:rsidR="00AC7C9A" w:rsidRPr="00202411">
        <w:t>Annual observed and expected number of services for breast cancer-related diagnostic procedures in 2020, by jurisdiction</w:t>
      </w:r>
      <w:bookmarkEnd w:id="20"/>
      <w:bookmarkEnd w:id="21"/>
    </w:p>
    <w:p w14:paraId="679FF3EE" w14:textId="77777777" w:rsidR="00AC7C9A" w:rsidRPr="00590DC5" w:rsidRDefault="00834120" w:rsidP="00AC7C9A">
      <w:pPr>
        <w:jc w:val="center"/>
        <w:rPr>
          <w:szCs w:val="20"/>
        </w:rPr>
      </w:pPr>
      <w:r w:rsidRPr="00AC7C9A">
        <w:rPr>
          <w:noProof/>
          <w:szCs w:val="20"/>
        </w:rPr>
        <w:drawing>
          <wp:inline distT="0" distB="0" distL="0" distR="0" wp14:anchorId="47B2BF4D" wp14:editId="33B6A540">
            <wp:extent cx="4457700" cy="2819400"/>
            <wp:effectExtent l="0" t="0" r="0" b="0"/>
            <wp:docPr id="2" name="Picture 1" descr="The figure is a column graph depicting the number of diagnostic procedures related to breast cancer for each jurisdiction in 2020. Two bars are shown for each jurisdiction, one for the number of observed services and one for the number of expected services. The column bar for observed services is lower than the column bar for expected services for jurisdictions including, QLD and SA and NT combined. The observed and expected number of services are considered similar for jurisdictions including NSW and ACT combined, VIC and TAS combined, and W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he figure is a column graph depicting the number of diagnostic procedures related to breast cancer for each jurisdiction in 2020. Two bars are shown for each jurisdiction, one for the number of observed services and one for the number of expected services. The column bar for observed services is lower than the column bar for expected services for jurisdictions including, QLD and SA and NT combined. The observed and expected number of services are considered similar for jurisdictions including NSW and ACT combined, VIC and TAS combined, and WA.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57700" cy="2819400"/>
                    </a:xfrm>
                    <a:prstGeom prst="rect">
                      <a:avLst/>
                    </a:prstGeom>
                    <a:noFill/>
                    <a:ln>
                      <a:noFill/>
                    </a:ln>
                  </pic:spPr>
                </pic:pic>
              </a:graphicData>
            </a:graphic>
          </wp:inline>
        </w:drawing>
      </w:r>
    </w:p>
    <w:p w14:paraId="7E5DD81C" w14:textId="77777777" w:rsidR="00934991" w:rsidRDefault="00934991" w:rsidP="00934991">
      <w:pPr>
        <w:pStyle w:val="Heading2"/>
        <w:tabs>
          <w:tab w:val="clear" w:pos="1572"/>
          <w:tab w:val="num" w:pos="709"/>
        </w:tabs>
        <w:ind w:left="709" w:hanging="709"/>
        <w:rPr>
          <w:kern w:val="32"/>
        </w:rPr>
      </w:pPr>
      <w:bookmarkStart w:id="22" w:name="_Toc84363181"/>
      <w:bookmarkEnd w:id="17"/>
      <w:r>
        <w:t>Colorectal cancer</w:t>
      </w:r>
      <w:bookmarkEnd w:id="22"/>
    </w:p>
    <w:p w14:paraId="7138A487" w14:textId="77777777" w:rsidR="009850D3" w:rsidRPr="002B331F" w:rsidRDefault="009850D3" w:rsidP="00440D08">
      <w:pPr>
        <w:rPr>
          <w:szCs w:val="20"/>
        </w:rPr>
      </w:pPr>
      <w:r w:rsidRPr="00FF5794">
        <w:rPr>
          <w:szCs w:val="20"/>
        </w:rPr>
        <w:t>Diagnostic procedures for the detection of colorectal cancers that were examined for these analyses include colonoscopies and sigmoidoscopies</w:t>
      </w:r>
      <w:r>
        <w:rPr>
          <w:szCs w:val="20"/>
        </w:rPr>
        <w:t xml:space="preserve"> </w:t>
      </w:r>
      <w:r w:rsidRPr="00FF5794">
        <w:rPr>
          <w:szCs w:val="20"/>
        </w:rPr>
        <w:t>with</w:t>
      </w:r>
      <w:r>
        <w:rPr>
          <w:szCs w:val="20"/>
        </w:rPr>
        <w:t xml:space="preserve"> or </w:t>
      </w:r>
      <w:r w:rsidRPr="00FF5794">
        <w:rPr>
          <w:szCs w:val="20"/>
        </w:rPr>
        <w:t>without removal of polyp procedures</w:t>
      </w:r>
      <w:r w:rsidRPr="009850D3">
        <w:rPr>
          <w:rStyle w:val="FootnoteReference"/>
          <w:iCs/>
          <w:szCs w:val="20"/>
        </w:rPr>
        <w:footnoteReference w:id="15"/>
      </w:r>
      <w:r w:rsidRPr="009850D3">
        <w:rPr>
          <w:rStyle w:val="FootnoteReference"/>
          <w:iCs/>
          <w:szCs w:val="20"/>
        </w:rPr>
        <w:footnoteReference w:id="16"/>
      </w:r>
      <w:r w:rsidRPr="00FF5794">
        <w:rPr>
          <w:szCs w:val="20"/>
        </w:rPr>
        <w:t xml:space="preserve">. </w:t>
      </w:r>
      <w:r w:rsidRPr="002B331F">
        <w:rPr>
          <w:iCs/>
          <w:szCs w:val="20"/>
        </w:rPr>
        <w:t>Some pre-cancerous polyps and some early stage malignant polyps can be removed during the colonoscopy/ sigmoidoscopy procedure and may not require further/ extended surgical procedures in relation to treatment of colorectal cancer.  Therefore, use of these item codes by service providers may represent both a diagnostic procedure as well as a treatment procedure for early stage colorectal cancers</w:t>
      </w:r>
      <w:r>
        <w:rPr>
          <w:rStyle w:val="FootnoteReference"/>
          <w:iCs/>
          <w:szCs w:val="20"/>
        </w:rPr>
        <w:footnoteReference w:id="17"/>
      </w:r>
      <w:r w:rsidRPr="002B331F">
        <w:rPr>
          <w:iCs/>
          <w:szCs w:val="20"/>
        </w:rPr>
        <w:t>.</w:t>
      </w:r>
    </w:p>
    <w:p w14:paraId="250CC0B6" w14:textId="0518BACA" w:rsidR="009850D3" w:rsidRPr="00590DC5" w:rsidRDefault="009850D3" w:rsidP="00440D08">
      <w:pPr>
        <w:rPr>
          <w:szCs w:val="20"/>
        </w:rPr>
      </w:pPr>
      <w:bookmarkStart w:id="23" w:name="_Hlk80025600"/>
      <w:r>
        <w:rPr>
          <w:szCs w:val="20"/>
        </w:rPr>
        <w:t>In 2020, the observed number of services nationally for diagnostic procedures related to colorectal cancers was 13% lower than expected, with 87,293 fewer services (</w:t>
      </w:r>
      <w:bookmarkStart w:id="24" w:name="_Hlk80874376"/>
      <w:r>
        <w:rPr>
          <w:szCs w:val="20"/>
        </w:rPr>
        <w:t>609,645 services observed versus 696,938 services expected</w:t>
      </w:r>
      <w:bookmarkEnd w:id="24"/>
      <w:r>
        <w:rPr>
          <w:szCs w:val="20"/>
        </w:rPr>
        <w:t>)</w:t>
      </w:r>
      <w:bookmarkEnd w:id="23"/>
      <w:r>
        <w:rPr>
          <w:noProof/>
          <w:szCs w:val="20"/>
        </w:rPr>
        <w:t xml:space="preserve"> </w:t>
      </w:r>
      <w:r w:rsidR="0044120B">
        <w:rPr>
          <w:szCs w:val="20"/>
        </w:rPr>
        <w:t>[</w:t>
      </w:r>
      <w:r w:rsidR="0044120B" w:rsidRPr="0096072B">
        <w:rPr>
          <w:szCs w:val="20"/>
          <w:highlight w:val="yellow"/>
        </w:rPr>
        <w:fldChar w:fldCharType="begin"/>
      </w:r>
      <w:r w:rsidR="0044120B" w:rsidRPr="0096072B">
        <w:rPr>
          <w:szCs w:val="20"/>
          <w:highlight w:val="yellow"/>
        </w:rPr>
        <w:instrText xml:space="preserve"> REF _Ref79599482 \h </w:instrText>
      </w:r>
      <w:r w:rsidR="0044120B">
        <w:rPr>
          <w:szCs w:val="20"/>
          <w:highlight w:val="yellow"/>
        </w:rPr>
        <w:instrText xml:space="preserve"> \* MERGEFORMAT </w:instrText>
      </w:r>
      <w:r w:rsidR="0044120B" w:rsidRPr="0096072B">
        <w:rPr>
          <w:szCs w:val="20"/>
          <w:highlight w:val="yellow"/>
        </w:rPr>
      </w:r>
      <w:r w:rsidR="0044120B" w:rsidRPr="0096072B">
        <w:rPr>
          <w:szCs w:val="20"/>
          <w:highlight w:val="yellow"/>
        </w:rPr>
        <w:fldChar w:fldCharType="separate"/>
      </w:r>
      <w:r w:rsidR="00533EE6" w:rsidRPr="00533EE6">
        <w:rPr>
          <w:szCs w:val="20"/>
        </w:rPr>
        <w:t>Table 1</w:t>
      </w:r>
      <w:r w:rsidR="0044120B" w:rsidRPr="0096072B">
        <w:rPr>
          <w:szCs w:val="20"/>
          <w:highlight w:val="yellow"/>
        </w:rPr>
        <w:fldChar w:fldCharType="end"/>
      </w:r>
      <w:r w:rsidR="0044120B" w:rsidRPr="0096072B">
        <w:rPr>
          <w:szCs w:val="20"/>
        </w:rPr>
        <w:t>;</w:t>
      </w:r>
      <w:r w:rsidR="0044120B">
        <w:rPr>
          <w:szCs w:val="20"/>
        </w:rPr>
        <w:t xml:space="preserve"> Figure 1]</w:t>
      </w:r>
      <w:r w:rsidR="0044120B" w:rsidRPr="001568D1">
        <w:rPr>
          <w:szCs w:val="20"/>
        </w:rPr>
        <w:t>.</w:t>
      </w:r>
    </w:p>
    <w:p w14:paraId="7549CEB8" w14:textId="77777777" w:rsidR="009850D3" w:rsidRDefault="009850D3" w:rsidP="00440D08">
      <w:pPr>
        <w:rPr>
          <w:szCs w:val="20"/>
        </w:rPr>
      </w:pPr>
      <w:bookmarkStart w:id="25" w:name="_Hlk80116782"/>
      <w:bookmarkStart w:id="26" w:name="_Hlk80874305"/>
      <w:r>
        <w:rPr>
          <w:szCs w:val="20"/>
        </w:rPr>
        <w:t>The observed number of services for 2020 was lower than expected for most jurisdictions. The observed number of services was 22% lower than expected for VIC/TAS and 10</w:t>
      </w:r>
      <w:r>
        <w:t>–</w:t>
      </w:r>
      <w:r>
        <w:rPr>
          <w:szCs w:val="20"/>
        </w:rPr>
        <w:t>12% lower for NSW/ACT, SA/NT, and WA</w:t>
      </w:r>
      <w:bookmarkEnd w:id="25"/>
      <w:r w:rsidRPr="00590DC5">
        <w:rPr>
          <w:szCs w:val="20"/>
        </w:rPr>
        <w:t>.</w:t>
      </w:r>
      <w:r>
        <w:rPr>
          <w:szCs w:val="20"/>
        </w:rPr>
        <w:t xml:space="preserve"> </w:t>
      </w:r>
      <w:r w:rsidRPr="00DD48BA">
        <w:rPr>
          <w:szCs w:val="20"/>
        </w:rPr>
        <w:t>The observed number of services was similar to expected</w:t>
      </w:r>
      <w:r>
        <w:rPr>
          <w:szCs w:val="20"/>
        </w:rPr>
        <w:t xml:space="preserve">, that is, less than 5% difference, </w:t>
      </w:r>
      <w:r w:rsidRPr="00DD48BA">
        <w:rPr>
          <w:szCs w:val="20"/>
        </w:rPr>
        <w:t xml:space="preserve">for </w:t>
      </w:r>
      <w:r>
        <w:rPr>
          <w:szCs w:val="20"/>
        </w:rPr>
        <w:t>QLD (4% lower) [</w:t>
      </w:r>
      <w:r w:rsidR="004F3E26">
        <w:rPr>
          <w:szCs w:val="20"/>
        </w:rPr>
        <w:t>Table B1</w:t>
      </w:r>
      <w:r w:rsidR="004F3E26" w:rsidRPr="00E31B41">
        <w:rPr>
          <w:szCs w:val="20"/>
        </w:rPr>
        <w:t xml:space="preserve">; </w:t>
      </w:r>
      <w:r w:rsidR="004F3E26">
        <w:rPr>
          <w:szCs w:val="20"/>
        </w:rPr>
        <w:t>Figure 1.2</w:t>
      </w:r>
      <w:r>
        <w:rPr>
          <w:szCs w:val="20"/>
        </w:rPr>
        <w:t>]</w:t>
      </w:r>
      <w:r w:rsidRPr="00DD48BA">
        <w:rPr>
          <w:szCs w:val="20"/>
        </w:rPr>
        <w:t>.</w:t>
      </w:r>
      <w:r>
        <w:rPr>
          <w:szCs w:val="20"/>
        </w:rPr>
        <w:t xml:space="preserve"> For each state/territory:</w:t>
      </w:r>
    </w:p>
    <w:p w14:paraId="2B8C696C" w14:textId="77777777" w:rsidR="009850D3" w:rsidRPr="00B4767C" w:rsidRDefault="009850D3" w:rsidP="00D14B60">
      <w:pPr>
        <w:pStyle w:val="ListParagraph"/>
        <w:numPr>
          <w:ilvl w:val="0"/>
          <w:numId w:val="6"/>
        </w:numPr>
        <w:spacing w:line="280" w:lineRule="atLeast"/>
        <w:ind w:left="714" w:hanging="357"/>
        <w:jc w:val="both"/>
        <w:rPr>
          <w:rFonts w:ascii="Century Gothic" w:hAnsi="Century Gothic"/>
          <w:sz w:val="20"/>
          <w:szCs w:val="20"/>
        </w:rPr>
      </w:pPr>
      <w:r w:rsidRPr="00B4767C">
        <w:rPr>
          <w:rFonts w:ascii="Century Gothic" w:hAnsi="Century Gothic"/>
          <w:sz w:val="20"/>
          <w:szCs w:val="20"/>
        </w:rPr>
        <w:lastRenderedPageBreak/>
        <w:t xml:space="preserve">The observed number of services was </w:t>
      </w:r>
      <w:r w:rsidRPr="009850D3">
        <w:rPr>
          <w:rFonts w:ascii="Century Gothic" w:hAnsi="Century Gothic"/>
          <w:noProof/>
          <w:color w:val="000000"/>
          <w:sz w:val="20"/>
          <w:szCs w:val="20"/>
        </w:rPr>
        <w:t>22% lower than expected</w:t>
      </w:r>
      <w:r w:rsidRPr="00B4767C">
        <w:rPr>
          <w:rFonts w:ascii="Century Gothic" w:hAnsi="Century Gothic"/>
          <w:sz w:val="20"/>
          <w:szCs w:val="20"/>
        </w:rPr>
        <w:t xml:space="preserve"> for VIC/TAS</w:t>
      </w:r>
      <w:r w:rsidRPr="009850D3">
        <w:rPr>
          <w:rFonts w:ascii="Century Gothic" w:hAnsi="Century Gothic"/>
          <w:noProof/>
          <w:color w:val="000000"/>
          <w:sz w:val="20"/>
          <w:szCs w:val="20"/>
        </w:rPr>
        <w:t>, with 42,118 fewer services (151,578 services observed versus 193,696 services expected)</w:t>
      </w:r>
      <w:r w:rsidRPr="00B4767C">
        <w:rPr>
          <w:rFonts w:ascii="Century Gothic" w:hAnsi="Century Gothic"/>
          <w:sz w:val="20"/>
          <w:szCs w:val="20"/>
        </w:rPr>
        <w:t xml:space="preserve">; </w:t>
      </w:r>
      <w:r w:rsidRPr="009850D3">
        <w:rPr>
          <w:rFonts w:ascii="Century Gothic" w:hAnsi="Century Gothic"/>
          <w:noProof/>
          <w:color w:val="000000"/>
          <w:sz w:val="20"/>
          <w:szCs w:val="20"/>
        </w:rPr>
        <w:t>12% lower than expected</w:t>
      </w:r>
      <w:r w:rsidRPr="00B4767C">
        <w:rPr>
          <w:rFonts w:ascii="Century Gothic" w:hAnsi="Century Gothic"/>
          <w:sz w:val="20"/>
          <w:szCs w:val="20"/>
        </w:rPr>
        <w:t xml:space="preserve"> for </w:t>
      </w:r>
      <w:r w:rsidRPr="00D14B60">
        <w:rPr>
          <w:rFonts w:ascii="Century Gothic" w:hAnsi="Century Gothic"/>
          <w:noProof/>
          <w:color w:val="000000"/>
          <w:sz w:val="20"/>
          <w:szCs w:val="20"/>
        </w:rPr>
        <w:t>NSW</w:t>
      </w:r>
      <w:r w:rsidRPr="00B4767C">
        <w:rPr>
          <w:rFonts w:ascii="Century Gothic" w:hAnsi="Century Gothic"/>
          <w:sz w:val="20"/>
          <w:szCs w:val="20"/>
        </w:rPr>
        <w:t>/ACT</w:t>
      </w:r>
      <w:r w:rsidRPr="009850D3">
        <w:rPr>
          <w:rFonts w:ascii="Century Gothic" w:hAnsi="Century Gothic"/>
          <w:noProof/>
          <w:color w:val="000000"/>
          <w:sz w:val="20"/>
          <w:szCs w:val="20"/>
        </w:rPr>
        <w:t>, with 26,855 fewer services (206,093 services observed versus 232,948 services expected);</w:t>
      </w:r>
      <w:r w:rsidRPr="00B4767C">
        <w:rPr>
          <w:rFonts w:ascii="Century Gothic" w:hAnsi="Century Gothic"/>
          <w:sz w:val="20"/>
          <w:szCs w:val="20"/>
        </w:rPr>
        <w:t xml:space="preserve"> </w:t>
      </w:r>
      <w:r w:rsidRPr="009850D3">
        <w:rPr>
          <w:rFonts w:ascii="Century Gothic" w:hAnsi="Century Gothic"/>
          <w:noProof/>
          <w:color w:val="000000"/>
          <w:sz w:val="20"/>
          <w:szCs w:val="20"/>
        </w:rPr>
        <w:t>11% lower than expected</w:t>
      </w:r>
      <w:r w:rsidRPr="009850D3">
        <w:rPr>
          <w:rFonts w:ascii="Century Gothic" w:hAnsi="Century Gothic"/>
          <w:color w:val="000000"/>
          <w:sz w:val="20"/>
          <w:szCs w:val="20"/>
        </w:rPr>
        <w:t xml:space="preserve"> for </w:t>
      </w:r>
      <w:r w:rsidRPr="00B4767C">
        <w:rPr>
          <w:rFonts w:ascii="Century Gothic" w:hAnsi="Century Gothic"/>
          <w:sz w:val="20"/>
          <w:szCs w:val="20"/>
        </w:rPr>
        <w:t>SA/NT</w:t>
      </w:r>
      <w:r w:rsidRPr="009850D3">
        <w:rPr>
          <w:rFonts w:ascii="Century Gothic" w:hAnsi="Century Gothic"/>
          <w:noProof/>
          <w:color w:val="000000"/>
          <w:sz w:val="20"/>
          <w:szCs w:val="20"/>
        </w:rPr>
        <w:t>, with 6,237 fewer services</w:t>
      </w:r>
      <w:r w:rsidRPr="009850D3">
        <w:rPr>
          <w:rFonts w:ascii="Century Gothic" w:hAnsi="Century Gothic"/>
          <w:color w:val="000000"/>
          <w:sz w:val="20"/>
          <w:szCs w:val="20"/>
        </w:rPr>
        <w:t xml:space="preserve"> </w:t>
      </w:r>
      <w:r w:rsidRPr="009850D3">
        <w:rPr>
          <w:rFonts w:ascii="Century Gothic" w:hAnsi="Century Gothic"/>
          <w:noProof/>
          <w:color w:val="000000"/>
          <w:sz w:val="20"/>
          <w:szCs w:val="20"/>
        </w:rPr>
        <w:t xml:space="preserve">(52,616 services observed versus 58,853 services expected); </w:t>
      </w:r>
      <w:r w:rsidRPr="00B4767C">
        <w:rPr>
          <w:rFonts w:ascii="Century Gothic" w:hAnsi="Century Gothic"/>
          <w:sz w:val="20"/>
          <w:szCs w:val="20"/>
        </w:rPr>
        <w:t xml:space="preserve">and </w:t>
      </w:r>
      <w:r w:rsidRPr="009850D3">
        <w:rPr>
          <w:rFonts w:ascii="Century Gothic" w:hAnsi="Century Gothic"/>
          <w:noProof/>
          <w:color w:val="000000"/>
          <w:sz w:val="20"/>
          <w:szCs w:val="20"/>
        </w:rPr>
        <w:t>10% lower than expected</w:t>
      </w:r>
      <w:r w:rsidRPr="00B4767C">
        <w:rPr>
          <w:rFonts w:ascii="Century Gothic" w:hAnsi="Century Gothic"/>
          <w:sz w:val="20"/>
          <w:szCs w:val="20"/>
        </w:rPr>
        <w:t xml:space="preserve"> for WA</w:t>
      </w:r>
      <w:r w:rsidRPr="009850D3">
        <w:rPr>
          <w:rFonts w:ascii="Century Gothic" w:hAnsi="Century Gothic"/>
          <w:noProof/>
          <w:color w:val="000000"/>
          <w:sz w:val="20"/>
          <w:szCs w:val="20"/>
        </w:rPr>
        <w:t>, with 5,924 fewer services</w:t>
      </w:r>
      <w:r w:rsidRPr="009850D3">
        <w:rPr>
          <w:rFonts w:ascii="Century Gothic" w:hAnsi="Century Gothic"/>
          <w:color w:val="000000"/>
          <w:sz w:val="20"/>
          <w:szCs w:val="20"/>
        </w:rPr>
        <w:t xml:space="preserve"> </w:t>
      </w:r>
      <w:r w:rsidRPr="009850D3">
        <w:rPr>
          <w:rFonts w:ascii="Century Gothic" w:hAnsi="Century Gothic"/>
          <w:noProof/>
          <w:color w:val="000000"/>
          <w:sz w:val="20"/>
          <w:szCs w:val="20"/>
        </w:rPr>
        <w:t>(54,921 services observed versus 60,845 services expected)</w:t>
      </w:r>
      <w:r w:rsidRPr="009850D3">
        <w:rPr>
          <w:rFonts w:ascii="Century Gothic" w:hAnsi="Century Gothic"/>
          <w:color w:val="000000"/>
          <w:sz w:val="20"/>
          <w:szCs w:val="20"/>
        </w:rPr>
        <w:t xml:space="preserve">. </w:t>
      </w:r>
      <w:bookmarkStart w:id="27" w:name="_Hlk81400350"/>
      <w:r w:rsidRPr="00B4767C">
        <w:rPr>
          <w:rFonts w:ascii="Century Gothic" w:hAnsi="Century Gothic"/>
          <w:sz w:val="20"/>
          <w:szCs w:val="20"/>
        </w:rPr>
        <w:t xml:space="preserve">The observed number of services was similar to expected for QLD (4% lower), with 6,160 fewer services </w:t>
      </w:r>
      <w:r w:rsidRPr="009850D3">
        <w:rPr>
          <w:rFonts w:ascii="Century Gothic" w:hAnsi="Century Gothic"/>
          <w:noProof/>
          <w:color w:val="000000"/>
          <w:sz w:val="20"/>
          <w:szCs w:val="20"/>
        </w:rPr>
        <w:t>(144,437 services observed versus 150,597 services expected</w:t>
      </w:r>
      <w:r w:rsidRPr="00B4767C">
        <w:rPr>
          <w:rFonts w:ascii="Century Gothic" w:hAnsi="Century Gothic"/>
          <w:sz w:val="20"/>
          <w:szCs w:val="20"/>
        </w:rPr>
        <w:t xml:space="preserve">) </w:t>
      </w:r>
      <w:bookmarkEnd w:id="27"/>
      <w:r w:rsidR="004F3E26" w:rsidRPr="004F3E26">
        <w:rPr>
          <w:rFonts w:ascii="Century Gothic" w:hAnsi="Century Gothic"/>
          <w:sz w:val="20"/>
          <w:szCs w:val="20"/>
        </w:rPr>
        <w:t>[Table B1; Figure 1</w:t>
      </w:r>
      <w:r w:rsidR="004F3E26">
        <w:rPr>
          <w:rFonts w:ascii="Century Gothic" w:hAnsi="Century Gothic"/>
          <w:sz w:val="20"/>
          <w:szCs w:val="20"/>
        </w:rPr>
        <w:t>.2</w:t>
      </w:r>
      <w:r w:rsidRPr="00B4767C">
        <w:rPr>
          <w:rFonts w:ascii="Century Gothic" w:hAnsi="Century Gothic"/>
          <w:sz w:val="20"/>
          <w:szCs w:val="20"/>
        </w:rPr>
        <w:t>].</w:t>
      </w:r>
    </w:p>
    <w:p w14:paraId="44B52262" w14:textId="77777777" w:rsidR="00934991" w:rsidRDefault="009850D3" w:rsidP="00440D08">
      <w:bookmarkStart w:id="28" w:name="_Hlk80026663"/>
      <w:bookmarkEnd w:id="26"/>
      <w:r>
        <w:rPr>
          <w:szCs w:val="20"/>
        </w:rPr>
        <w:t xml:space="preserve">The observed and expected number of diagnostic services related to colorectal cancers for 2020 for each state and territory are provided in Appendix </w:t>
      </w:r>
      <w:r w:rsidR="004F3E26">
        <w:rPr>
          <w:szCs w:val="20"/>
        </w:rPr>
        <w:t>Table B1</w:t>
      </w:r>
      <w:r w:rsidRPr="00395B12">
        <w:rPr>
          <w:szCs w:val="20"/>
        </w:rPr>
        <w:t>.</w:t>
      </w:r>
      <w:bookmarkEnd w:id="28"/>
    </w:p>
    <w:p w14:paraId="73F4F4BF" w14:textId="66AB0B96" w:rsidR="00934991" w:rsidRPr="00202411" w:rsidRDefault="00934991" w:rsidP="00934991">
      <w:pPr>
        <w:pStyle w:val="FigureName"/>
        <w:spacing w:before="480" w:after="200"/>
        <w:ind w:left="1077" w:hanging="1077"/>
      </w:pPr>
      <w:bookmarkStart w:id="29" w:name="_Ref79624811"/>
      <w:bookmarkStart w:id="30" w:name="_Toc83365202"/>
      <w:bookmarkStart w:id="31" w:name="_Toc83720978"/>
      <w:r w:rsidRPr="00202411">
        <w:t>Figure</w:t>
      </w:r>
      <w:bookmarkEnd w:id="29"/>
      <w:r w:rsidR="00440D08">
        <w:t xml:space="preserve"> 1.2</w:t>
      </w:r>
      <w:r>
        <w:tab/>
      </w:r>
      <w:r w:rsidRPr="00202411">
        <w:t>Annual observed and expected number of services for colorectal cancer-related diagnostic procedures in 2020, by jurisdiction</w:t>
      </w:r>
      <w:bookmarkEnd w:id="30"/>
      <w:bookmarkEnd w:id="31"/>
    </w:p>
    <w:p w14:paraId="175E39DA" w14:textId="77777777" w:rsidR="00934991" w:rsidRDefault="00834120" w:rsidP="00934991">
      <w:pPr>
        <w:jc w:val="center"/>
      </w:pPr>
      <w:r w:rsidRPr="005707F4">
        <w:rPr>
          <w:noProof/>
        </w:rPr>
        <w:drawing>
          <wp:inline distT="0" distB="0" distL="0" distR="0" wp14:anchorId="548DD150" wp14:editId="746DE207">
            <wp:extent cx="4457700" cy="2819400"/>
            <wp:effectExtent l="0" t="0" r="0" b="0"/>
            <wp:docPr id="3" name="Picture 1" descr="The figure is a column graph depicting the number of diagnostic procedures related to colorectal cancer for each jurisdiction in 2020. Two bars are shown for each jurisdiction, one for the number of observed services and one for the number of expected services. The column bar for observed services is lower than the column bar for expected services for jurisdictions including NSW and ACT combined, VIC and TAS combined, SA and NT combined and WA. The observed and expected number of services are considered similar for Q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he figure is a column graph depicting the number of diagnostic procedures related to colorectal cancer for each jurisdiction in 2020. Two bars are shown for each jurisdiction, one for the number of observed services and one for the number of expected services. The column bar for observed services is lower than the column bar for expected services for jurisdictions including NSW and ACT combined, VIC and TAS combined, SA and NT combined and WA. The observed and expected number of services are considered similar for QL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57700" cy="2819400"/>
                    </a:xfrm>
                    <a:prstGeom prst="rect">
                      <a:avLst/>
                    </a:prstGeom>
                    <a:noFill/>
                    <a:ln>
                      <a:noFill/>
                    </a:ln>
                  </pic:spPr>
                </pic:pic>
              </a:graphicData>
            </a:graphic>
          </wp:inline>
        </w:drawing>
      </w:r>
    </w:p>
    <w:p w14:paraId="14DE1A6B" w14:textId="77777777" w:rsidR="00934991" w:rsidRDefault="00934991" w:rsidP="00934991"/>
    <w:p w14:paraId="27A83385" w14:textId="77777777" w:rsidR="00934991" w:rsidRDefault="00934991" w:rsidP="00934991">
      <w:pPr>
        <w:pStyle w:val="Heading2"/>
        <w:tabs>
          <w:tab w:val="clear" w:pos="1572"/>
          <w:tab w:val="num" w:pos="709"/>
        </w:tabs>
        <w:ind w:left="709" w:hanging="709"/>
        <w:rPr>
          <w:kern w:val="32"/>
        </w:rPr>
      </w:pPr>
      <w:bookmarkStart w:id="32" w:name="_Toc84363182"/>
      <w:r>
        <w:t>Kidney cancer</w:t>
      </w:r>
      <w:bookmarkEnd w:id="32"/>
    </w:p>
    <w:p w14:paraId="7ACD3514" w14:textId="77777777" w:rsidR="009850D3" w:rsidRPr="00D14B60" w:rsidRDefault="009850D3" w:rsidP="00D14B60">
      <w:pPr>
        <w:rPr>
          <w:iCs/>
          <w:szCs w:val="20"/>
        </w:rPr>
      </w:pPr>
      <w:r>
        <w:rPr>
          <w:szCs w:val="20"/>
        </w:rPr>
        <w:t xml:space="preserve">The </w:t>
      </w:r>
      <w:r w:rsidRPr="00D14B60">
        <w:rPr>
          <w:iCs/>
          <w:szCs w:val="20"/>
        </w:rPr>
        <w:t xml:space="preserve">diagnostic procedure examined for these analyses for kidney cancer was surgical renal biopsy (closed) procedures. </w:t>
      </w:r>
    </w:p>
    <w:p w14:paraId="2D7A3036" w14:textId="081BAB2E" w:rsidR="009850D3" w:rsidRPr="00D14B60" w:rsidRDefault="009850D3" w:rsidP="00D14B60">
      <w:pPr>
        <w:rPr>
          <w:iCs/>
          <w:szCs w:val="20"/>
        </w:rPr>
      </w:pPr>
      <w:bookmarkStart w:id="33" w:name="_Hlk80045197"/>
      <w:r w:rsidRPr="00D14B60">
        <w:rPr>
          <w:iCs/>
          <w:szCs w:val="20"/>
        </w:rPr>
        <w:t xml:space="preserve">In 2020, the observed number of services nationally for kidney cancer-related diagnostic procedures was 5% higher than expected, with 86 more services (1,940 services observed versus 1,854 </w:t>
      </w:r>
      <w:bookmarkEnd w:id="33"/>
      <w:r w:rsidRPr="00D14B60">
        <w:rPr>
          <w:iCs/>
          <w:szCs w:val="20"/>
        </w:rPr>
        <w:t xml:space="preserve">services expected) </w:t>
      </w:r>
      <w:r w:rsidR="0044120B" w:rsidRPr="00D14B60">
        <w:rPr>
          <w:iCs/>
          <w:szCs w:val="20"/>
        </w:rPr>
        <w:t>[</w:t>
      </w:r>
      <w:r w:rsidR="0044120B" w:rsidRPr="00D14B60">
        <w:rPr>
          <w:iCs/>
          <w:szCs w:val="20"/>
        </w:rPr>
        <w:fldChar w:fldCharType="begin"/>
      </w:r>
      <w:r w:rsidR="0044120B" w:rsidRPr="00D14B60">
        <w:rPr>
          <w:iCs/>
          <w:szCs w:val="20"/>
        </w:rPr>
        <w:instrText xml:space="preserve"> REF _Ref79599482 \h  \* MERGEFORMAT </w:instrText>
      </w:r>
      <w:r w:rsidR="0044120B" w:rsidRPr="00D14B60">
        <w:rPr>
          <w:iCs/>
          <w:szCs w:val="20"/>
        </w:rPr>
      </w:r>
      <w:r w:rsidR="0044120B" w:rsidRPr="00D14B60">
        <w:rPr>
          <w:iCs/>
          <w:szCs w:val="20"/>
        </w:rPr>
        <w:fldChar w:fldCharType="separate"/>
      </w:r>
      <w:r w:rsidR="00533EE6" w:rsidRPr="00D14B60">
        <w:rPr>
          <w:iCs/>
          <w:szCs w:val="20"/>
        </w:rPr>
        <w:t>Table 1</w:t>
      </w:r>
      <w:r w:rsidR="0044120B" w:rsidRPr="00D14B60">
        <w:rPr>
          <w:iCs/>
          <w:szCs w:val="20"/>
        </w:rPr>
        <w:fldChar w:fldCharType="end"/>
      </w:r>
      <w:r w:rsidR="0044120B" w:rsidRPr="00D14B60">
        <w:rPr>
          <w:iCs/>
          <w:szCs w:val="20"/>
        </w:rPr>
        <w:t>; Figure 1]</w:t>
      </w:r>
      <w:r w:rsidRPr="00D14B60">
        <w:rPr>
          <w:iCs/>
          <w:szCs w:val="20"/>
        </w:rPr>
        <w:t>.</w:t>
      </w:r>
    </w:p>
    <w:p w14:paraId="4398497B" w14:textId="77777777" w:rsidR="009850D3" w:rsidRPr="00D14B60" w:rsidRDefault="009850D3" w:rsidP="00D14B60">
      <w:pPr>
        <w:rPr>
          <w:iCs/>
          <w:szCs w:val="20"/>
        </w:rPr>
      </w:pPr>
      <w:bookmarkStart w:id="34" w:name="_Hlk80045263"/>
      <w:r w:rsidRPr="00D14B60">
        <w:rPr>
          <w:iCs/>
          <w:szCs w:val="20"/>
        </w:rPr>
        <w:t xml:space="preserve">The observed number of services for 2020 was 11% lower than expected for WA and 25% higher than expected for VIC/TAS. The observed number of services was similar to expected, that is, less than 5% difference, for NSW/ACT (2% higher) and </w:t>
      </w:r>
      <w:bookmarkEnd w:id="34"/>
      <w:r w:rsidRPr="00D14B60">
        <w:rPr>
          <w:iCs/>
          <w:szCs w:val="20"/>
        </w:rPr>
        <w:t xml:space="preserve">QLD (4% higher). Due to the small number of services for SA/NT (i.e. less than 5 services), any difference in observed and expected numbers of services should be interpreted with caution </w:t>
      </w:r>
      <w:r w:rsidR="004F3E26" w:rsidRPr="00D14B60">
        <w:rPr>
          <w:iCs/>
          <w:szCs w:val="20"/>
        </w:rPr>
        <w:t>[Table B1; Figure 1.3</w:t>
      </w:r>
      <w:r w:rsidRPr="00D14B60">
        <w:rPr>
          <w:iCs/>
          <w:szCs w:val="20"/>
        </w:rPr>
        <w:t>]. For each state/territory:</w:t>
      </w:r>
    </w:p>
    <w:p w14:paraId="4447C08F" w14:textId="77777777" w:rsidR="009850D3" w:rsidRPr="00D14B60" w:rsidRDefault="009850D3" w:rsidP="00D14B60">
      <w:pPr>
        <w:pStyle w:val="ListParagraph"/>
        <w:numPr>
          <w:ilvl w:val="0"/>
          <w:numId w:val="6"/>
        </w:numPr>
        <w:spacing w:line="280" w:lineRule="atLeast"/>
        <w:ind w:left="714" w:hanging="357"/>
        <w:jc w:val="both"/>
        <w:rPr>
          <w:rFonts w:ascii="Century Gothic" w:eastAsia="Times New Roman" w:hAnsi="Century Gothic"/>
          <w:iCs/>
          <w:color w:val="000000"/>
          <w:sz w:val="20"/>
          <w:szCs w:val="20"/>
        </w:rPr>
      </w:pPr>
      <w:bookmarkStart w:id="35" w:name="_Hlk81469027"/>
      <w:r w:rsidRPr="00B4767C">
        <w:rPr>
          <w:rFonts w:ascii="Century Gothic" w:hAnsi="Century Gothic"/>
          <w:sz w:val="20"/>
          <w:szCs w:val="20"/>
        </w:rPr>
        <w:lastRenderedPageBreak/>
        <w:t xml:space="preserve">The </w:t>
      </w:r>
      <w:r w:rsidRPr="00D14B60">
        <w:rPr>
          <w:rFonts w:ascii="Century Gothic" w:hAnsi="Century Gothic"/>
          <w:sz w:val="20"/>
          <w:szCs w:val="20"/>
        </w:rPr>
        <w:t xml:space="preserve">observed number of services was 11% lower than expected for WA, with 17 fewer services (142 services observed versus 159 services expected); and 25% higher than expected for </w:t>
      </w:r>
      <w:r w:rsidRPr="00D14B60">
        <w:rPr>
          <w:rFonts w:ascii="Century Gothic" w:hAnsi="Century Gothic"/>
          <w:noProof/>
          <w:color w:val="000000"/>
          <w:sz w:val="20"/>
          <w:szCs w:val="20"/>
        </w:rPr>
        <w:t>VIC</w:t>
      </w:r>
      <w:r w:rsidRPr="00D14B60">
        <w:rPr>
          <w:rFonts w:ascii="Century Gothic" w:hAnsi="Century Gothic"/>
          <w:sz w:val="20"/>
          <w:szCs w:val="20"/>
        </w:rPr>
        <w:t xml:space="preserve">/TAS, with 70 more services (351 services observed versus 281 services expected). The </w:t>
      </w:r>
      <w:r w:rsidRPr="00D14B60">
        <w:rPr>
          <w:rFonts w:ascii="Century Gothic" w:hAnsi="Century Gothic"/>
          <w:color w:val="000000"/>
          <w:sz w:val="20"/>
          <w:szCs w:val="20"/>
        </w:rPr>
        <w:t>observed</w:t>
      </w:r>
      <w:r w:rsidRPr="00D14B60">
        <w:rPr>
          <w:rFonts w:ascii="Century Gothic" w:hAnsi="Century Gothic"/>
          <w:sz w:val="20"/>
          <w:szCs w:val="20"/>
        </w:rPr>
        <w:t xml:space="preserve"> number of services was similar to expected for QLD (4% higher), with 10 more services (260 services observed versus 250 services expected) </w:t>
      </w:r>
      <w:r w:rsidR="004F3E26" w:rsidRPr="00D14B60">
        <w:rPr>
          <w:rFonts w:ascii="Century Gothic" w:hAnsi="Century Gothic"/>
          <w:sz w:val="20"/>
          <w:szCs w:val="20"/>
        </w:rPr>
        <w:t>[Table B1; Figure 1.3</w:t>
      </w:r>
      <w:r w:rsidRPr="00D14B60">
        <w:rPr>
          <w:rFonts w:ascii="Century Gothic" w:hAnsi="Century Gothic"/>
          <w:sz w:val="20"/>
          <w:szCs w:val="20"/>
        </w:rPr>
        <w:t>].</w:t>
      </w:r>
      <w:bookmarkEnd w:id="35"/>
    </w:p>
    <w:p w14:paraId="0FB315BA" w14:textId="77777777" w:rsidR="00934991" w:rsidRPr="00D14B60" w:rsidRDefault="009850D3" w:rsidP="00D14B60">
      <w:pPr>
        <w:rPr>
          <w:iCs/>
          <w:szCs w:val="20"/>
        </w:rPr>
      </w:pPr>
      <w:r w:rsidRPr="00D14B60">
        <w:rPr>
          <w:iCs/>
          <w:szCs w:val="20"/>
        </w:rPr>
        <w:t xml:space="preserve">The observed and expected number of diagnostic services related to kidney cancer for 2020 for each state and territory are provided in Appendix </w:t>
      </w:r>
      <w:r w:rsidR="004F3E26" w:rsidRPr="00D14B60">
        <w:rPr>
          <w:iCs/>
          <w:szCs w:val="20"/>
        </w:rPr>
        <w:t>Table B1</w:t>
      </w:r>
      <w:r w:rsidRPr="00D14B60">
        <w:rPr>
          <w:iCs/>
          <w:szCs w:val="20"/>
        </w:rPr>
        <w:t>.</w:t>
      </w:r>
    </w:p>
    <w:p w14:paraId="64554A00" w14:textId="79CE9D1A" w:rsidR="00934991" w:rsidRPr="00202411" w:rsidRDefault="00934991" w:rsidP="00934991">
      <w:pPr>
        <w:pStyle w:val="FigureName"/>
        <w:spacing w:before="480" w:after="200"/>
        <w:ind w:left="1077" w:hanging="1077"/>
      </w:pPr>
      <w:bookmarkStart w:id="36" w:name="_Ref80091707"/>
      <w:bookmarkStart w:id="37" w:name="_Toc83365203"/>
      <w:bookmarkStart w:id="38" w:name="_Toc83720979"/>
      <w:r w:rsidRPr="00202411">
        <w:t>Figure</w:t>
      </w:r>
      <w:bookmarkEnd w:id="36"/>
      <w:r w:rsidR="00440D08">
        <w:t xml:space="preserve"> 1.3</w:t>
      </w:r>
      <w:r>
        <w:tab/>
      </w:r>
      <w:r w:rsidRPr="00202411">
        <w:t>Annual observed and expected number of services for kidney cancer-related diagnostic procedures in 2020, by jurisdiction</w:t>
      </w:r>
      <w:bookmarkEnd w:id="37"/>
      <w:bookmarkEnd w:id="38"/>
    </w:p>
    <w:p w14:paraId="3704BC24" w14:textId="77777777" w:rsidR="00934991" w:rsidRDefault="00834120" w:rsidP="00934991">
      <w:pPr>
        <w:spacing w:line="360" w:lineRule="auto"/>
        <w:jc w:val="center"/>
        <w:rPr>
          <w:szCs w:val="20"/>
        </w:rPr>
      </w:pPr>
      <w:r w:rsidRPr="00934991">
        <w:rPr>
          <w:noProof/>
          <w:szCs w:val="20"/>
        </w:rPr>
        <w:drawing>
          <wp:inline distT="0" distB="0" distL="0" distR="0" wp14:anchorId="28D5E422" wp14:editId="7A61EE62">
            <wp:extent cx="4457700" cy="2819400"/>
            <wp:effectExtent l="0" t="0" r="0" b="0"/>
            <wp:docPr id="4" name="Picture 3" descr="The figure is a column graph depicting the number of diagnostic procedures related to kidney cancer for each jurisdiction in 2020. Two bars are shown for each jurisdiction, one for the number of observed services and one for the number of expected services. The column bar for observed services is lower than the column bar for expected services for WA. The column bar for observed services is higher than the column bar for expected services for VIC and TAS combined. The observed and expected number of services are considered similar for jurisdictions including NSW and ACT combined and QLD. Column bars for the number of observed and expected services are not visible for SA and NT combined as there were fewer than 5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he figure is a column graph depicting the number of diagnostic procedures related to kidney cancer for each jurisdiction in 2020. Two bars are shown for each jurisdiction, one for the number of observed services and one for the number of expected services. The column bar for observed services is lower than the column bar for expected services for WA. The column bar for observed services is higher than the column bar for expected services for VIC and TAS combined. The observed and expected number of services are considered similar for jurisdictions including NSW and ACT combined and QLD. Column bars for the number of observed and expected services are not visible for SA and NT combined as there were fewer than 5 servic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57700" cy="2819400"/>
                    </a:xfrm>
                    <a:prstGeom prst="rect">
                      <a:avLst/>
                    </a:prstGeom>
                    <a:noFill/>
                    <a:ln>
                      <a:noFill/>
                    </a:ln>
                  </pic:spPr>
                </pic:pic>
              </a:graphicData>
            </a:graphic>
          </wp:inline>
        </w:drawing>
      </w:r>
    </w:p>
    <w:p w14:paraId="4BB27842" w14:textId="77777777" w:rsidR="00934991" w:rsidRDefault="00934991" w:rsidP="00934991">
      <w:pPr>
        <w:pStyle w:val="Heading2"/>
        <w:tabs>
          <w:tab w:val="clear" w:pos="1572"/>
          <w:tab w:val="num" w:pos="709"/>
        </w:tabs>
        <w:ind w:left="709" w:hanging="709"/>
        <w:rPr>
          <w:kern w:val="32"/>
        </w:rPr>
      </w:pPr>
      <w:bookmarkStart w:id="39" w:name="_Toc84363183"/>
      <w:r>
        <w:t>Liver cancer</w:t>
      </w:r>
      <w:bookmarkEnd w:id="39"/>
    </w:p>
    <w:p w14:paraId="18BC6B3F" w14:textId="77777777" w:rsidR="009850D3" w:rsidRPr="0096072B" w:rsidRDefault="009850D3" w:rsidP="00D14B60">
      <w:pPr>
        <w:rPr>
          <w:b/>
          <w:szCs w:val="20"/>
        </w:rPr>
      </w:pPr>
      <w:r w:rsidRPr="00E31B41">
        <w:rPr>
          <w:szCs w:val="20"/>
        </w:rPr>
        <w:t xml:space="preserve">The </w:t>
      </w:r>
      <w:r w:rsidRPr="00D14B60">
        <w:rPr>
          <w:iCs/>
          <w:szCs w:val="20"/>
        </w:rPr>
        <w:t>diagnostic</w:t>
      </w:r>
      <w:r w:rsidRPr="00E31B41">
        <w:rPr>
          <w:szCs w:val="20"/>
        </w:rPr>
        <w:t xml:space="preserve"> procedure examined for this cancer type in these analyses was surgical biopsy of the liver.</w:t>
      </w:r>
      <w:r w:rsidRPr="009850D3">
        <w:rPr>
          <w:szCs w:val="20"/>
          <w:shd w:val="clear" w:color="auto" w:fill="FFF2CC"/>
        </w:rPr>
        <w:t xml:space="preserve"> </w:t>
      </w:r>
    </w:p>
    <w:p w14:paraId="0F6B1F9D" w14:textId="127E8998" w:rsidR="009850D3" w:rsidRPr="00B35156" w:rsidRDefault="009850D3" w:rsidP="00D14B60">
      <w:pPr>
        <w:rPr>
          <w:szCs w:val="20"/>
        </w:rPr>
      </w:pPr>
      <w:r>
        <w:rPr>
          <w:szCs w:val="20"/>
        </w:rPr>
        <w:t xml:space="preserve">In 2020, </w:t>
      </w:r>
      <w:r w:rsidRPr="00D14B60">
        <w:rPr>
          <w:iCs/>
          <w:szCs w:val="20"/>
        </w:rPr>
        <w:t>the</w:t>
      </w:r>
      <w:r>
        <w:rPr>
          <w:szCs w:val="20"/>
        </w:rPr>
        <w:t xml:space="preserve"> observed number of services nation</w:t>
      </w:r>
      <w:r w:rsidRPr="00B35156">
        <w:rPr>
          <w:szCs w:val="20"/>
        </w:rPr>
        <w:t xml:space="preserve">ally for </w:t>
      </w:r>
      <w:r w:rsidRPr="00B35156">
        <w:rPr>
          <w:noProof/>
          <w:szCs w:val="20"/>
        </w:rPr>
        <w:t xml:space="preserve">liver cancer-related diagnostic procedures </w:t>
      </w:r>
      <w:r w:rsidRPr="00B35156">
        <w:rPr>
          <w:szCs w:val="20"/>
        </w:rPr>
        <w:t xml:space="preserve">was </w:t>
      </w:r>
      <w:r w:rsidRPr="00B35156">
        <w:rPr>
          <w:noProof/>
          <w:szCs w:val="20"/>
        </w:rPr>
        <w:t>12% lower than expected</w:t>
      </w:r>
      <w:r>
        <w:rPr>
          <w:noProof/>
          <w:szCs w:val="20"/>
        </w:rPr>
        <w:t xml:space="preserve">, with </w:t>
      </w:r>
      <w:r w:rsidRPr="00B35156">
        <w:rPr>
          <w:noProof/>
          <w:szCs w:val="20"/>
        </w:rPr>
        <w:t>488 fewer services</w:t>
      </w:r>
      <w:r w:rsidRPr="00B35156">
        <w:rPr>
          <w:szCs w:val="20"/>
        </w:rPr>
        <w:t xml:space="preserve"> </w:t>
      </w:r>
      <w:r w:rsidRPr="00B35156">
        <w:rPr>
          <w:noProof/>
          <w:szCs w:val="20"/>
        </w:rPr>
        <w:t>(3,446</w:t>
      </w:r>
      <w:r>
        <w:rPr>
          <w:noProof/>
          <w:szCs w:val="20"/>
        </w:rPr>
        <w:t xml:space="preserve"> services observed versus </w:t>
      </w:r>
      <w:r w:rsidRPr="00B35156">
        <w:rPr>
          <w:noProof/>
          <w:szCs w:val="20"/>
        </w:rPr>
        <w:t xml:space="preserve">3,934 </w:t>
      </w:r>
      <w:r>
        <w:rPr>
          <w:noProof/>
          <w:szCs w:val="20"/>
        </w:rPr>
        <w:t xml:space="preserve">services expected) </w:t>
      </w:r>
      <w:r w:rsidR="0044120B">
        <w:rPr>
          <w:szCs w:val="20"/>
        </w:rPr>
        <w:t>[</w:t>
      </w:r>
      <w:r w:rsidR="0044120B" w:rsidRPr="0096072B">
        <w:rPr>
          <w:szCs w:val="20"/>
          <w:highlight w:val="yellow"/>
        </w:rPr>
        <w:fldChar w:fldCharType="begin"/>
      </w:r>
      <w:r w:rsidR="0044120B" w:rsidRPr="0096072B">
        <w:rPr>
          <w:szCs w:val="20"/>
          <w:highlight w:val="yellow"/>
        </w:rPr>
        <w:instrText xml:space="preserve"> REF _Ref79599482 \h </w:instrText>
      </w:r>
      <w:r w:rsidR="0044120B">
        <w:rPr>
          <w:szCs w:val="20"/>
          <w:highlight w:val="yellow"/>
        </w:rPr>
        <w:instrText xml:space="preserve"> \* MERGEFORMAT </w:instrText>
      </w:r>
      <w:r w:rsidR="0044120B" w:rsidRPr="0096072B">
        <w:rPr>
          <w:szCs w:val="20"/>
          <w:highlight w:val="yellow"/>
        </w:rPr>
      </w:r>
      <w:r w:rsidR="0044120B" w:rsidRPr="0096072B">
        <w:rPr>
          <w:szCs w:val="20"/>
          <w:highlight w:val="yellow"/>
        </w:rPr>
        <w:fldChar w:fldCharType="separate"/>
      </w:r>
      <w:r w:rsidR="00533EE6" w:rsidRPr="00533EE6">
        <w:rPr>
          <w:szCs w:val="20"/>
        </w:rPr>
        <w:t>Table 1</w:t>
      </w:r>
      <w:r w:rsidR="0044120B" w:rsidRPr="0096072B">
        <w:rPr>
          <w:szCs w:val="20"/>
          <w:highlight w:val="yellow"/>
        </w:rPr>
        <w:fldChar w:fldCharType="end"/>
      </w:r>
      <w:r w:rsidR="0044120B" w:rsidRPr="0096072B">
        <w:rPr>
          <w:szCs w:val="20"/>
        </w:rPr>
        <w:t>;</w:t>
      </w:r>
      <w:r w:rsidR="0044120B">
        <w:rPr>
          <w:szCs w:val="20"/>
        </w:rPr>
        <w:t xml:space="preserve"> Figure 1]</w:t>
      </w:r>
      <w:r w:rsidRPr="00B35156">
        <w:rPr>
          <w:szCs w:val="20"/>
        </w:rPr>
        <w:t>.</w:t>
      </w:r>
    </w:p>
    <w:p w14:paraId="1BA887B4" w14:textId="77777777" w:rsidR="009850D3" w:rsidRDefault="009850D3" w:rsidP="00D14B60">
      <w:pPr>
        <w:rPr>
          <w:szCs w:val="20"/>
        </w:rPr>
      </w:pPr>
      <w:r w:rsidRPr="00B35156">
        <w:rPr>
          <w:szCs w:val="20"/>
        </w:rPr>
        <w:t xml:space="preserve">The observed number of </w:t>
      </w:r>
      <w:r>
        <w:rPr>
          <w:szCs w:val="20"/>
        </w:rPr>
        <w:t>services for 2020</w:t>
      </w:r>
      <w:r w:rsidRPr="00B35156">
        <w:rPr>
          <w:szCs w:val="20"/>
        </w:rPr>
        <w:t xml:space="preserve"> was lower than expected</w:t>
      </w:r>
      <w:r>
        <w:rPr>
          <w:szCs w:val="20"/>
        </w:rPr>
        <w:t xml:space="preserve"> for most jurisdictions.</w:t>
      </w:r>
      <w:r w:rsidRPr="0084333B">
        <w:rPr>
          <w:szCs w:val="20"/>
        </w:rPr>
        <w:t xml:space="preserve"> </w:t>
      </w:r>
      <w:r>
        <w:rPr>
          <w:szCs w:val="20"/>
        </w:rPr>
        <w:t>The number of observed services was</w:t>
      </w:r>
      <w:r w:rsidRPr="00B35156">
        <w:rPr>
          <w:szCs w:val="20"/>
        </w:rPr>
        <w:t xml:space="preserve"> 27% </w:t>
      </w:r>
      <w:r>
        <w:rPr>
          <w:szCs w:val="20"/>
        </w:rPr>
        <w:t xml:space="preserve">lower than expected </w:t>
      </w:r>
      <w:r w:rsidRPr="00B35156">
        <w:rPr>
          <w:szCs w:val="20"/>
        </w:rPr>
        <w:t xml:space="preserve">for </w:t>
      </w:r>
      <w:r>
        <w:rPr>
          <w:szCs w:val="20"/>
        </w:rPr>
        <w:t>SA/NT</w:t>
      </w:r>
      <w:r w:rsidRPr="00B35156">
        <w:rPr>
          <w:szCs w:val="20"/>
        </w:rPr>
        <w:t xml:space="preserve"> and </w:t>
      </w:r>
      <w:r>
        <w:rPr>
          <w:szCs w:val="20"/>
        </w:rPr>
        <w:t>8</w:t>
      </w:r>
      <w:r>
        <w:t>-</w:t>
      </w:r>
      <w:r w:rsidRPr="00B35156">
        <w:rPr>
          <w:szCs w:val="20"/>
        </w:rPr>
        <w:t>1</w:t>
      </w:r>
      <w:r>
        <w:rPr>
          <w:szCs w:val="20"/>
        </w:rPr>
        <w:t>6</w:t>
      </w:r>
      <w:r w:rsidRPr="00B35156">
        <w:rPr>
          <w:szCs w:val="20"/>
        </w:rPr>
        <w:t xml:space="preserve">% </w:t>
      </w:r>
      <w:r>
        <w:rPr>
          <w:szCs w:val="20"/>
        </w:rPr>
        <w:t>lower than expected</w:t>
      </w:r>
      <w:r w:rsidRPr="00B35156">
        <w:rPr>
          <w:szCs w:val="20"/>
        </w:rPr>
        <w:t xml:space="preserve"> for </w:t>
      </w:r>
      <w:bookmarkStart w:id="40" w:name="_Hlk84947102"/>
      <w:r>
        <w:rPr>
          <w:szCs w:val="20"/>
        </w:rPr>
        <w:t>NSW/ACT, VIC/TAS, and QLD</w:t>
      </w:r>
      <w:bookmarkEnd w:id="40"/>
      <w:r>
        <w:rPr>
          <w:szCs w:val="20"/>
        </w:rPr>
        <w:t xml:space="preserve">. </w:t>
      </w:r>
      <w:r w:rsidRPr="00B35156">
        <w:rPr>
          <w:szCs w:val="20"/>
        </w:rPr>
        <w:t xml:space="preserve">The observed number of services </w:t>
      </w:r>
      <w:r>
        <w:rPr>
          <w:szCs w:val="20"/>
        </w:rPr>
        <w:t>was</w:t>
      </w:r>
      <w:r w:rsidRPr="00B35156">
        <w:rPr>
          <w:szCs w:val="20"/>
        </w:rPr>
        <w:t xml:space="preserve"> </w:t>
      </w:r>
      <w:r>
        <w:rPr>
          <w:szCs w:val="20"/>
        </w:rPr>
        <w:t xml:space="preserve">similar to expected, that is, less than 5% difference, for WA (4% lower) </w:t>
      </w:r>
      <w:r w:rsidR="004F3E26" w:rsidRPr="004F3E26">
        <w:rPr>
          <w:szCs w:val="20"/>
        </w:rPr>
        <w:t>[Table B1; Figure 1</w:t>
      </w:r>
      <w:r w:rsidR="004F3E26">
        <w:rPr>
          <w:szCs w:val="20"/>
        </w:rPr>
        <w:t>.4</w:t>
      </w:r>
      <w:r>
        <w:rPr>
          <w:szCs w:val="20"/>
        </w:rPr>
        <w:t>]</w:t>
      </w:r>
      <w:r w:rsidRPr="00B35156">
        <w:rPr>
          <w:szCs w:val="20"/>
        </w:rPr>
        <w:t xml:space="preserve">. </w:t>
      </w:r>
      <w:r>
        <w:rPr>
          <w:szCs w:val="20"/>
        </w:rPr>
        <w:t>For each state/territory:</w:t>
      </w:r>
    </w:p>
    <w:p w14:paraId="2B6ACAAD" w14:textId="77777777" w:rsidR="009850D3" w:rsidRPr="00B4767C" w:rsidRDefault="009850D3" w:rsidP="00D14B60">
      <w:pPr>
        <w:pStyle w:val="ListParagraph"/>
        <w:numPr>
          <w:ilvl w:val="0"/>
          <w:numId w:val="6"/>
        </w:numPr>
        <w:spacing w:line="280" w:lineRule="atLeast"/>
        <w:ind w:left="714" w:hanging="357"/>
        <w:jc w:val="both"/>
        <w:rPr>
          <w:rFonts w:ascii="Century Gothic" w:hAnsi="Century Gothic"/>
          <w:sz w:val="20"/>
          <w:szCs w:val="20"/>
        </w:rPr>
      </w:pPr>
      <w:bookmarkStart w:id="41" w:name="_Hlk81471335"/>
      <w:r w:rsidRPr="00B4767C">
        <w:rPr>
          <w:rFonts w:ascii="Century Gothic" w:hAnsi="Century Gothic"/>
          <w:sz w:val="20"/>
          <w:szCs w:val="20"/>
        </w:rPr>
        <w:t xml:space="preserve">The observed number of services was </w:t>
      </w:r>
      <w:r w:rsidRPr="009850D3">
        <w:rPr>
          <w:rFonts w:ascii="Century Gothic" w:hAnsi="Century Gothic"/>
          <w:noProof/>
          <w:color w:val="000000"/>
          <w:sz w:val="20"/>
          <w:szCs w:val="20"/>
        </w:rPr>
        <w:t>27% lower than expected for SA/NT, with 79 fewer services (218 services observed versus 297 services expected)</w:t>
      </w:r>
      <w:r w:rsidRPr="00B4767C">
        <w:rPr>
          <w:rFonts w:ascii="Century Gothic" w:hAnsi="Century Gothic"/>
          <w:sz w:val="20"/>
          <w:szCs w:val="20"/>
        </w:rPr>
        <w:t xml:space="preserve">; </w:t>
      </w:r>
      <w:r w:rsidRPr="009850D3">
        <w:rPr>
          <w:rFonts w:ascii="Century Gothic" w:hAnsi="Century Gothic"/>
          <w:noProof/>
          <w:color w:val="000000"/>
          <w:sz w:val="20"/>
          <w:szCs w:val="20"/>
        </w:rPr>
        <w:t>16% lower than expected for VIC/TAS, with 213 fewer services (1,125 services observed versus 1,338 services expected); 12% lower than expected for QLD, with 73 fewer services</w:t>
      </w:r>
      <w:r w:rsidRPr="009850D3">
        <w:rPr>
          <w:rFonts w:ascii="Century Gothic" w:hAnsi="Century Gothic"/>
          <w:color w:val="000000"/>
          <w:sz w:val="20"/>
          <w:szCs w:val="20"/>
        </w:rPr>
        <w:t xml:space="preserve"> </w:t>
      </w:r>
      <w:r w:rsidRPr="009850D3">
        <w:rPr>
          <w:rFonts w:ascii="Century Gothic" w:hAnsi="Century Gothic"/>
          <w:noProof/>
          <w:color w:val="000000"/>
          <w:sz w:val="20"/>
          <w:szCs w:val="20"/>
        </w:rPr>
        <w:t xml:space="preserve">(562 </w:t>
      </w:r>
      <w:r w:rsidRPr="009850D3">
        <w:rPr>
          <w:rFonts w:ascii="Century Gothic" w:hAnsi="Century Gothic"/>
          <w:noProof/>
          <w:color w:val="000000"/>
          <w:sz w:val="20"/>
          <w:szCs w:val="20"/>
        </w:rPr>
        <w:lastRenderedPageBreak/>
        <w:t xml:space="preserve">services observed versus 635 services expected); </w:t>
      </w:r>
      <w:r w:rsidRPr="00B4767C">
        <w:rPr>
          <w:rFonts w:ascii="Century Gothic" w:hAnsi="Century Gothic"/>
          <w:sz w:val="20"/>
          <w:szCs w:val="20"/>
        </w:rPr>
        <w:t xml:space="preserve">and </w:t>
      </w:r>
      <w:r w:rsidRPr="009850D3">
        <w:rPr>
          <w:rFonts w:ascii="Century Gothic" w:hAnsi="Century Gothic"/>
          <w:noProof/>
          <w:color w:val="000000"/>
          <w:sz w:val="20"/>
          <w:szCs w:val="20"/>
        </w:rPr>
        <w:t>8% lower than expected for NSW/ACT, with 110 fewer services</w:t>
      </w:r>
      <w:r w:rsidRPr="009850D3">
        <w:rPr>
          <w:rFonts w:ascii="Century Gothic" w:hAnsi="Century Gothic"/>
          <w:color w:val="000000"/>
          <w:sz w:val="20"/>
          <w:szCs w:val="20"/>
        </w:rPr>
        <w:t xml:space="preserve"> </w:t>
      </w:r>
      <w:r w:rsidRPr="009850D3">
        <w:rPr>
          <w:rFonts w:ascii="Century Gothic" w:hAnsi="Century Gothic"/>
          <w:noProof/>
          <w:color w:val="000000"/>
          <w:sz w:val="20"/>
          <w:szCs w:val="20"/>
        </w:rPr>
        <w:t>(1,217 services observed versus 1,327 services expected)</w:t>
      </w:r>
      <w:r w:rsidRPr="009850D3">
        <w:rPr>
          <w:rFonts w:ascii="Century Gothic" w:hAnsi="Century Gothic"/>
          <w:color w:val="000000"/>
          <w:sz w:val="20"/>
          <w:szCs w:val="20"/>
        </w:rPr>
        <w:t xml:space="preserve">. </w:t>
      </w:r>
      <w:r w:rsidRPr="00B4767C">
        <w:rPr>
          <w:rFonts w:ascii="Century Gothic" w:hAnsi="Century Gothic"/>
          <w:sz w:val="20"/>
          <w:szCs w:val="20"/>
        </w:rPr>
        <w:t xml:space="preserve">The observed number of services was similar to expected for WA (4% lower), with 13 fewer services </w:t>
      </w:r>
      <w:r w:rsidRPr="009850D3">
        <w:rPr>
          <w:rFonts w:ascii="Century Gothic" w:hAnsi="Century Gothic"/>
          <w:noProof/>
          <w:color w:val="000000"/>
          <w:sz w:val="20"/>
          <w:szCs w:val="20"/>
        </w:rPr>
        <w:t>(324 services observed versus 337 services expected</w:t>
      </w:r>
      <w:r w:rsidRPr="00B4767C">
        <w:rPr>
          <w:rFonts w:ascii="Century Gothic" w:hAnsi="Century Gothic"/>
          <w:sz w:val="20"/>
          <w:szCs w:val="20"/>
        </w:rPr>
        <w:t xml:space="preserve">) </w:t>
      </w:r>
      <w:r w:rsidR="004F3E26" w:rsidRPr="004F3E26">
        <w:rPr>
          <w:rFonts w:ascii="Century Gothic" w:hAnsi="Century Gothic"/>
          <w:sz w:val="20"/>
          <w:szCs w:val="20"/>
        </w:rPr>
        <w:t>[Table B1; Figure 1</w:t>
      </w:r>
      <w:r w:rsidR="004F3E26">
        <w:rPr>
          <w:rFonts w:ascii="Century Gothic" w:hAnsi="Century Gothic"/>
          <w:sz w:val="20"/>
          <w:szCs w:val="20"/>
        </w:rPr>
        <w:t>.4</w:t>
      </w:r>
      <w:r w:rsidRPr="00B4767C">
        <w:rPr>
          <w:rFonts w:ascii="Century Gothic" w:hAnsi="Century Gothic"/>
          <w:sz w:val="20"/>
          <w:szCs w:val="20"/>
        </w:rPr>
        <w:t>].</w:t>
      </w:r>
      <w:bookmarkEnd w:id="41"/>
    </w:p>
    <w:p w14:paraId="3AEE10DC" w14:textId="77777777" w:rsidR="00934991" w:rsidRDefault="009850D3" w:rsidP="00D14B60">
      <w:r>
        <w:rPr>
          <w:szCs w:val="20"/>
        </w:rPr>
        <w:t xml:space="preserve">The </w:t>
      </w:r>
      <w:r w:rsidRPr="00D14B60">
        <w:rPr>
          <w:iCs/>
          <w:szCs w:val="20"/>
        </w:rPr>
        <w:t>observed</w:t>
      </w:r>
      <w:r>
        <w:rPr>
          <w:szCs w:val="20"/>
        </w:rPr>
        <w:t xml:space="preserve"> and expected number of diagnostic services related to liver cancer for 2020 for each state and territory are provided in Appendix </w:t>
      </w:r>
      <w:r w:rsidR="004F3E26">
        <w:rPr>
          <w:szCs w:val="20"/>
        </w:rPr>
        <w:t>Table B1</w:t>
      </w:r>
      <w:r w:rsidRPr="00395B12">
        <w:rPr>
          <w:szCs w:val="20"/>
        </w:rPr>
        <w:t>.</w:t>
      </w:r>
    </w:p>
    <w:p w14:paraId="5A09A2BC" w14:textId="41F66678" w:rsidR="00934991" w:rsidRPr="00202411" w:rsidRDefault="00934991" w:rsidP="00934991">
      <w:pPr>
        <w:pStyle w:val="FigureName"/>
        <w:spacing w:before="480" w:after="200"/>
        <w:ind w:left="1077" w:hanging="1077"/>
      </w:pPr>
      <w:bookmarkStart w:id="42" w:name="_Ref79528169"/>
      <w:bookmarkStart w:id="43" w:name="_Ref79528154"/>
      <w:bookmarkStart w:id="44" w:name="_Toc83365204"/>
      <w:bookmarkStart w:id="45" w:name="_Toc83720980"/>
      <w:r w:rsidRPr="00202411">
        <w:t>Figure</w:t>
      </w:r>
      <w:bookmarkEnd w:id="42"/>
      <w:r w:rsidR="00914671">
        <w:t xml:space="preserve"> 1.4</w:t>
      </w:r>
      <w:r>
        <w:tab/>
      </w:r>
      <w:r w:rsidRPr="00202411">
        <w:t>Annual observed and expected number of services for liver cancer-related diagnostic procedures in 2020, by jurisdiction</w:t>
      </w:r>
      <w:bookmarkEnd w:id="43"/>
      <w:bookmarkEnd w:id="44"/>
      <w:bookmarkEnd w:id="45"/>
    </w:p>
    <w:p w14:paraId="3EB4E5D5" w14:textId="77777777" w:rsidR="00934991" w:rsidRDefault="00834120" w:rsidP="00934991">
      <w:pPr>
        <w:jc w:val="center"/>
      </w:pPr>
      <w:r w:rsidRPr="005707F4">
        <w:rPr>
          <w:noProof/>
        </w:rPr>
        <w:drawing>
          <wp:inline distT="0" distB="0" distL="0" distR="0" wp14:anchorId="2F7B7AF7" wp14:editId="791309E5">
            <wp:extent cx="4457700" cy="2819400"/>
            <wp:effectExtent l="0" t="0" r="0" b="0"/>
            <wp:docPr id="5" name="Picture 1" descr="The figure is a column graph depicting the number of diagnostic procedures related to liver cancer for each jurisdiction in 2020. Two bars are shown for each jurisdiction, one for the number of observed services and one for the number of expected services. The column bar for observed services is lower than the column bar for expected services for jurisdictions including NSW and ACT combined, VIC and TAS combined, QLD, and SA and NT combined. The observed and expected number of services are considered similar for 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The figure is a column graph depicting the number of diagnostic procedures related to liver cancer for each jurisdiction in 2020. Two bars are shown for each jurisdiction, one for the number of observed services and one for the number of expected services. The column bar for observed services is lower than the column bar for expected services for jurisdictions including NSW and ACT combined, VIC and TAS combined, QLD, and SA and NT combined. The observed and expected number of services are considered similar for W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57700" cy="2819400"/>
                    </a:xfrm>
                    <a:prstGeom prst="rect">
                      <a:avLst/>
                    </a:prstGeom>
                    <a:noFill/>
                    <a:ln>
                      <a:noFill/>
                    </a:ln>
                  </pic:spPr>
                </pic:pic>
              </a:graphicData>
            </a:graphic>
          </wp:inline>
        </w:drawing>
      </w:r>
    </w:p>
    <w:p w14:paraId="3CE1E68F" w14:textId="77777777" w:rsidR="00934991" w:rsidRDefault="00934991" w:rsidP="00934991">
      <w:pPr>
        <w:pStyle w:val="Heading2"/>
        <w:tabs>
          <w:tab w:val="clear" w:pos="1572"/>
          <w:tab w:val="num" w:pos="709"/>
        </w:tabs>
        <w:ind w:left="709" w:hanging="709"/>
        <w:rPr>
          <w:kern w:val="32"/>
        </w:rPr>
      </w:pPr>
      <w:bookmarkStart w:id="46" w:name="_Toc84363184"/>
      <w:r>
        <w:t>Lung cancer</w:t>
      </w:r>
      <w:bookmarkEnd w:id="46"/>
      <w:r>
        <w:t xml:space="preserve"> </w:t>
      </w:r>
    </w:p>
    <w:p w14:paraId="4156CF0C" w14:textId="77777777" w:rsidR="009850D3" w:rsidRPr="00BA6326" w:rsidRDefault="009850D3" w:rsidP="00D14B60">
      <w:pPr>
        <w:rPr>
          <w:szCs w:val="20"/>
        </w:rPr>
      </w:pPr>
      <w:bookmarkStart w:id="47" w:name="_Hlk83620229"/>
      <w:r w:rsidRPr="002D28EF">
        <w:rPr>
          <w:szCs w:val="20"/>
        </w:rPr>
        <w:t xml:space="preserve">Diagnostic procedures for the detection of lung cancer examined for these analyses included Positron </w:t>
      </w:r>
      <w:r w:rsidRPr="00D14B60">
        <w:rPr>
          <w:iCs/>
          <w:szCs w:val="20"/>
        </w:rPr>
        <w:t>Emission</w:t>
      </w:r>
      <w:r w:rsidRPr="002D28EF">
        <w:rPr>
          <w:szCs w:val="20"/>
        </w:rPr>
        <w:t xml:space="preserve"> Tomography (PET) studies for evaluation of lung nodules, needle biopsies (percutaneous, endoscopic, or by bronchoscopy), and thoracoscopy and thoracotomy procedures with or without biopsies.</w:t>
      </w:r>
    </w:p>
    <w:p w14:paraId="3A51C3B2" w14:textId="63C382AA" w:rsidR="009850D3" w:rsidRPr="00590DC5" w:rsidRDefault="009850D3" w:rsidP="00D14B60">
      <w:pPr>
        <w:rPr>
          <w:szCs w:val="20"/>
        </w:rPr>
      </w:pPr>
      <w:r>
        <w:rPr>
          <w:szCs w:val="20"/>
        </w:rPr>
        <w:t xml:space="preserve">In 2020, the observed number of </w:t>
      </w:r>
      <w:r w:rsidRPr="00590DC5">
        <w:rPr>
          <w:szCs w:val="20"/>
        </w:rPr>
        <w:t xml:space="preserve">services nationally for </w:t>
      </w:r>
      <w:r w:rsidRPr="00590DC5">
        <w:rPr>
          <w:noProof/>
          <w:szCs w:val="20"/>
        </w:rPr>
        <w:t xml:space="preserve">lung cancer-related diagnostic procedures </w:t>
      </w:r>
      <w:r w:rsidRPr="00590DC5">
        <w:rPr>
          <w:szCs w:val="20"/>
        </w:rPr>
        <w:t xml:space="preserve">was </w:t>
      </w:r>
      <w:r w:rsidRPr="00590DC5">
        <w:rPr>
          <w:noProof/>
          <w:szCs w:val="20"/>
        </w:rPr>
        <w:t>9% lower than expected</w:t>
      </w:r>
      <w:r>
        <w:rPr>
          <w:noProof/>
          <w:szCs w:val="20"/>
        </w:rPr>
        <w:t>, with 3,884 fewer services</w:t>
      </w:r>
      <w:r w:rsidRPr="00590DC5">
        <w:rPr>
          <w:szCs w:val="20"/>
        </w:rPr>
        <w:t xml:space="preserve"> </w:t>
      </w:r>
      <w:r w:rsidRPr="00590DC5">
        <w:rPr>
          <w:noProof/>
          <w:szCs w:val="20"/>
        </w:rPr>
        <w:t xml:space="preserve">(40,562 </w:t>
      </w:r>
      <w:r>
        <w:rPr>
          <w:szCs w:val="20"/>
        </w:rPr>
        <w:t xml:space="preserve">services observed </w:t>
      </w:r>
      <w:r w:rsidRPr="00590DC5">
        <w:rPr>
          <w:noProof/>
          <w:szCs w:val="20"/>
        </w:rPr>
        <w:t>versus 44,446 service</w:t>
      </w:r>
      <w:r>
        <w:rPr>
          <w:noProof/>
          <w:szCs w:val="20"/>
        </w:rPr>
        <w:t xml:space="preserve"> </w:t>
      </w:r>
      <w:r w:rsidRPr="00590DC5">
        <w:rPr>
          <w:noProof/>
          <w:szCs w:val="20"/>
        </w:rPr>
        <w:t>s</w:t>
      </w:r>
      <w:r>
        <w:rPr>
          <w:noProof/>
          <w:szCs w:val="20"/>
        </w:rPr>
        <w:t>expected</w:t>
      </w:r>
      <w:r w:rsidRPr="00590DC5">
        <w:rPr>
          <w:noProof/>
          <w:szCs w:val="20"/>
        </w:rPr>
        <w:t>)</w:t>
      </w:r>
      <w:r>
        <w:rPr>
          <w:noProof/>
          <w:szCs w:val="20"/>
        </w:rPr>
        <w:t xml:space="preserve"> </w:t>
      </w:r>
      <w:r w:rsidR="0044120B">
        <w:rPr>
          <w:szCs w:val="20"/>
        </w:rPr>
        <w:t>[</w:t>
      </w:r>
      <w:r w:rsidR="0044120B" w:rsidRPr="0096072B">
        <w:rPr>
          <w:szCs w:val="20"/>
          <w:highlight w:val="yellow"/>
        </w:rPr>
        <w:fldChar w:fldCharType="begin"/>
      </w:r>
      <w:r w:rsidR="0044120B" w:rsidRPr="0096072B">
        <w:rPr>
          <w:szCs w:val="20"/>
          <w:highlight w:val="yellow"/>
        </w:rPr>
        <w:instrText xml:space="preserve"> REF _Ref79599482 \h </w:instrText>
      </w:r>
      <w:r w:rsidR="0044120B">
        <w:rPr>
          <w:szCs w:val="20"/>
          <w:highlight w:val="yellow"/>
        </w:rPr>
        <w:instrText xml:space="preserve"> \* MERGEFORMAT </w:instrText>
      </w:r>
      <w:r w:rsidR="0044120B" w:rsidRPr="0096072B">
        <w:rPr>
          <w:szCs w:val="20"/>
          <w:highlight w:val="yellow"/>
        </w:rPr>
      </w:r>
      <w:r w:rsidR="0044120B" w:rsidRPr="0096072B">
        <w:rPr>
          <w:szCs w:val="20"/>
          <w:highlight w:val="yellow"/>
        </w:rPr>
        <w:fldChar w:fldCharType="separate"/>
      </w:r>
      <w:r w:rsidR="00533EE6" w:rsidRPr="00533EE6">
        <w:rPr>
          <w:szCs w:val="20"/>
        </w:rPr>
        <w:t>Table 1</w:t>
      </w:r>
      <w:r w:rsidR="0044120B" w:rsidRPr="0096072B">
        <w:rPr>
          <w:szCs w:val="20"/>
          <w:highlight w:val="yellow"/>
        </w:rPr>
        <w:fldChar w:fldCharType="end"/>
      </w:r>
      <w:r w:rsidR="0044120B" w:rsidRPr="0096072B">
        <w:rPr>
          <w:szCs w:val="20"/>
        </w:rPr>
        <w:t>;</w:t>
      </w:r>
      <w:r w:rsidR="0044120B">
        <w:rPr>
          <w:szCs w:val="20"/>
        </w:rPr>
        <w:t xml:space="preserve"> Figure 1]</w:t>
      </w:r>
      <w:r w:rsidR="0044120B" w:rsidRPr="001568D1">
        <w:rPr>
          <w:szCs w:val="20"/>
        </w:rPr>
        <w:t>.</w:t>
      </w:r>
    </w:p>
    <w:p w14:paraId="6DCD5050" w14:textId="77777777" w:rsidR="009850D3" w:rsidRDefault="009850D3" w:rsidP="00D14B60">
      <w:pPr>
        <w:rPr>
          <w:szCs w:val="20"/>
        </w:rPr>
      </w:pPr>
      <w:r w:rsidRPr="00590DC5">
        <w:rPr>
          <w:szCs w:val="20"/>
        </w:rPr>
        <w:t xml:space="preserve">The number of observed services </w:t>
      </w:r>
      <w:r>
        <w:rPr>
          <w:szCs w:val="20"/>
        </w:rPr>
        <w:t xml:space="preserve">for 2020 </w:t>
      </w:r>
      <w:r w:rsidRPr="00590DC5">
        <w:rPr>
          <w:szCs w:val="20"/>
        </w:rPr>
        <w:t>was lower than expected</w:t>
      </w:r>
      <w:r w:rsidRPr="0046434E">
        <w:rPr>
          <w:szCs w:val="20"/>
        </w:rPr>
        <w:t xml:space="preserve"> </w:t>
      </w:r>
      <w:r w:rsidRPr="00590DC5">
        <w:rPr>
          <w:szCs w:val="20"/>
        </w:rPr>
        <w:t>for most jurisdictions</w:t>
      </w:r>
      <w:r>
        <w:rPr>
          <w:szCs w:val="20"/>
        </w:rPr>
        <w:t xml:space="preserve">. The number of </w:t>
      </w:r>
      <w:r w:rsidRPr="00D14B60">
        <w:rPr>
          <w:iCs/>
          <w:szCs w:val="20"/>
        </w:rPr>
        <w:t>services</w:t>
      </w:r>
      <w:r>
        <w:rPr>
          <w:szCs w:val="20"/>
        </w:rPr>
        <w:t xml:space="preserve"> was </w:t>
      </w:r>
      <w:r w:rsidRPr="00590DC5">
        <w:rPr>
          <w:szCs w:val="20"/>
        </w:rPr>
        <w:t>6</w:t>
      </w:r>
      <w:r>
        <w:t>–</w:t>
      </w:r>
      <w:r w:rsidRPr="00590DC5">
        <w:rPr>
          <w:szCs w:val="20"/>
        </w:rPr>
        <w:t xml:space="preserve">12% </w:t>
      </w:r>
      <w:r>
        <w:rPr>
          <w:szCs w:val="20"/>
        </w:rPr>
        <w:t xml:space="preserve">lower than expected </w:t>
      </w:r>
      <w:bookmarkStart w:id="48" w:name="_Hlk84947174"/>
      <w:r>
        <w:rPr>
          <w:szCs w:val="20"/>
        </w:rPr>
        <w:t>for NSW/ACT, VIC/TAS, SA/NT and WA</w:t>
      </w:r>
      <w:bookmarkEnd w:id="48"/>
      <w:r w:rsidRPr="00590DC5">
        <w:rPr>
          <w:szCs w:val="20"/>
        </w:rPr>
        <w:t xml:space="preserve">. </w:t>
      </w:r>
      <w:r>
        <w:rPr>
          <w:szCs w:val="20"/>
        </w:rPr>
        <w:t xml:space="preserve">The observed number of services was similar to expected, that is, less than 5% difference, for QLD (2% lower) </w:t>
      </w:r>
      <w:r w:rsidR="004F3E26" w:rsidRPr="004F3E26">
        <w:rPr>
          <w:szCs w:val="20"/>
        </w:rPr>
        <w:t>[Table B1; Figure 1</w:t>
      </w:r>
      <w:r w:rsidR="004F3E26">
        <w:rPr>
          <w:szCs w:val="20"/>
        </w:rPr>
        <w:t>.5</w:t>
      </w:r>
      <w:r>
        <w:rPr>
          <w:szCs w:val="20"/>
        </w:rPr>
        <w:t>]. For each state/territory:</w:t>
      </w:r>
    </w:p>
    <w:p w14:paraId="788F064B" w14:textId="77777777" w:rsidR="009850D3" w:rsidRPr="00B4767C" w:rsidRDefault="009850D3" w:rsidP="00D14B60">
      <w:pPr>
        <w:pStyle w:val="ListParagraph"/>
        <w:numPr>
          <w:ilvl w:val="0"/>
          <w:numId w:val="6"/>
        </w:numPr>
        <w:spacing w:line="280" w:lineRule="atLeast"/>
        <w:ind w:left="714" w:hanging="357"/>
        <w:jc w:val="both"/>
        <w:rPr>
          <w:rFonts w:ascii="Century Gothic" w:hAnsi="Century Gothic"/>
          <w:sz w:val="20"/>
          <w:szCs w:val="20"/>
        </w:rPr>
      </w:pPr>
      <w:bookmarkStart w:id="49" w:name="_Hlk81474850"/>
      <w:r w:rsidRPr="00B4767C">
        <w:rPr>
          <w:rFonts w:ascii="Century Gothic" w:hAnsi="Century Gothic"/>
          <w:sz w:val="20"/>
          <w:szCs w:val="20"/>
        </w:rPr>
        <w:t xml:space="preserve">The observed number of services was </w:t>
      </w:r>
      <w:r w:rsidRPr="009850D3">
        <w:rPr>
          <w:rFonts w:ascii="Century Gothic" w:hAnsi="Century Gothic"/>
          <w:noProof/>
          <w:color w:val="000000"/>
          <w:sz w:val="20"/>
          <w:szCs w:val="20"/>
        </w:rPr>
        <w:t>12% lower than expected for NSW/ACT, with 2,014 fewer services (15,077 services observed versus 17,091 services expected)</w:t>
      </w:r>
      <w:r w:rsidRPr="00B4767C">
        <w:rPr>
          <w:rFonts w:ascii="Century Gothic" w:hAnsi="Century Gothic"/>
          <w:sz w:val="20"/>
          <w:szCs w:val="20"/>
        </w:rPr>
        <w:t xml:space="preserve">; </w:t>
      </w:r>
      <w:r w:rsidRPr="009850D3">
        <w:rPr>
          <w:rFonts w:ascii="Century Gothic" w:hAnsi="Century Gothic"/>
          <w:noProof/>
          <w:color w:val="000000"/>
          <w:sz w:val="20"/>
          <w:szCs w:val="20"/>
        </w:rPr>
        <w:t>11% lower than expected for SA/NT, with 500 fewer services (4,036 services observed versus 4,526 services expected);</w:t>
      </w:r>
      <w:r w:rsidRPr="00B4767C">
        <w:rPr>
          <w:rFonts w:ascii="Century Gothic" w:hAnsi="Century Gothic"/>
          <w:sz w:val="20"/>
          <w:szCs w:val="20"/>
        </w:rPr>
        <w:t xml:space="preserve"> </w:t>
      </w:r>
      <w:r w:rsidRPr="009850D3">
        <w:rPr>
          <w:rFonts w:ascii="Century Gothic" w:hAnsi="Century Gothic"/>
          <w:noProof/>
          <w:color w:val="000000"/>
          <w:sz w:val="20"/>
          <w:szCs w:val="20"/>
        </w:rPr>
        <w:t>8% lower than expected for VIC/TAS, with 948 fewer services</w:t>
      </w:r>
      <w:r w:rsidRPr="009850D3">
        <w:rPr>
          <w:rFonts w:ascii="Century Gothic" w:hAnsi="Century Gothic"/>
          <w:color w:val="000000"/>
          <w:sz w:val="20"/>
          <w:szCs w:val="20"/>
        </w:rPr>
        <w:t xml:space="preserve"> </w:t>
      </w:r>
      <w:r w:rsidRPr="009850D3">
        <w:rPr>
          <w:rFonts w:ascii="Century Gothic" w:hAnsi="Century Gothic"/>
          <w:noProof/>
          <w:color w:val="000000"/>
          <w:sz w:val="20"/>
          <w:szCs w:val="20"/>
        </w:rPr>
        <w:t xml:space="preserve">(10,540 services observed versus 11,488 services expected) </w:t>
      </w:r>
      <w:r w:rsidRPr="00B4767C">
        <w:rPr>
          <w:rFonts w:ascii="Century Gothic" w:hAnsi="Century Gothic"/>
          <w:sz w:val="20"/>
          <w:szCs w:val="20"/>
        </w:rPr>
        <w:t>and 6</w:t>
      </w:r>
      <w:r w:rsidRPr="009850D3">
        <w:rPr>
          <w:rFonts w:ascii="Century Gothic" w:hAnsi="Century Gothic"/>
          <w:noProof/>
          <w:color w:val="000000"/>
          <w:sz w:val="20"/>
          <w:szCs w:val="20"/>
        </w:rPr>
        <w:t xml:space="preserve">% lower than </w:t>
      </w:r>
      <w:r w:rsidRPr="009850D3">
        <w:rPr>
          <w:rFonts w:ascii="Century Gothic" w:hAnsi="Century Gothic"/>
          <w:noProof/>
          <w:color w:val="000000"/>
          <w:sz w:val="20"/>
          <w:szCs w:val="20"/>
        </w:rPr>
        <w:lastRenderedPageBreak/>
        <w:t>expected for WA, with 273 fewer services</w:t>
      </w:r>
      <w:r w:rsidRPr="009850D3">
        <w:rPr>
          <w:rFonts w:ascii="Century Gothic" w:hAnsi="Century Gothic"/>
          <w:color w:val="000000"/>
          <w:sz w:val="20"/>
          <w:szCs w:val="20"/>
        </w:rPr>
        <w:t xml:space="preserve"> </w:t>
      </w:r>
      <w:r w:rsidRPr="009850D3">
        <w:rPr>
          <w:rFonts w:ascii="Century Gothic" w:hAnsi="Century Gothic"/>
          <w:noProof/>
          <w:color w:val="000000"/>
          <w:sz w:val="20"/>
          <w:szCs w:val="20"/>
        </w:rPr>
        <w:t>(3,929 services observed versus 4,202 services expected)</w:t>
      </w:r>
      <w:r w:rsidRPr="009850D3">
        <w:rPr>
          <w:rFonts w:ascii="Century Gothic" w:hAnsi="Century Gothic"/>
          <w:color w:val="000000"/>
          <w:sz w:val="20"/>
          <w:szCs w:val="20"/>
        </w:rPr>
        <w:t xml:space="preserve">. </w:t>
      </w:r>
      <w:r w:rsidRPr="00B4767C">
        <w:rPr>
          <w:rFonts w:ascii="Century Gothic" w:hAnsi="Century Gothic"/>
          <w:sz w:val="20"/>
          <w:szCs w:val="20"/>
        </w:rPr>
        <w:t xml:space="preserve">The </w:t>
      </w:r>
      <w:r w:rsidRPr="00D14B60">
        <w:rPr>
          <w:rFonts w:ascii="Century Gothic" w:hAnsi="Century Gothic"/>
          <w:noProof/>
          <w:color w:val="000000"/>
          <w:sz w:val="20"/>
          <w:szCs w:val="20"/>
        </w:rPr>
        <w:t>observed</w:t>
      </w:r>
      <w:r w:rsidRPr="00B4767C">
        <w:rPr>
          <w:rFonts w:ascii="Century Gothic" w:hAnsi="Century Gothic"/>
          <w:sz w:val="20"/>
          <w:szCs w:val="20"/>
        </w:rPr>
        <w:t xml:space="preserve"> number of services was similar to expected for QLD (2% lower), with 150 fewer services </w:t>
      </w:r>
      <w:r w:rsidRPr="009850D3">
        <w:rPr>
          <w:rFonts w:ascii="Century Gothic" w:hAnsi="Century Gothic"/>
          <w:noProof/>
          <w:color w:val="000000"/>
          <w:sz w:val="20"/>
          <w:szCs w:val="20"/>
        </w:rPr>
        <w:t>(6,980 services observed versus 7,130 services expected</w:t>
      </w:r>
      <w:r w:rsidRPr="00B4767C">
        <w:rPr>
          <w:rFonts w:ascii="Century Gothic" w:hAnsi="Century Gothic"/>
          <w:sz w:val="20"/>
          <w:szCs w:val="20"/>
        </w:rPr>
        <w:t xml:space="preserve">) </w:t>
      </w:r>
      <w:r w:rsidR="004F3E26" w:rsidRPr="004F3E26">
        <w:rPr>
          <w:rFonts w:ascii="Century Gothic" w:hAnsi="Century Gothic"/>
          <w:sz w:val="20"/>
          <w:szCs w:val="20"/>
        </w:rPr>
        <w:t>[Table B1; Figure 1</w:t>
      </w:r>
      <w:r w:rsidR="004F3E26">
        <w:rPr>
          <w:rFonts w:ascii="Century Gothic" w:hAnsi="Century Gothic"/>
          <w:sz w:val="20"/>
          <w:szCs w:val="20"/>
        </w:rPr>
        <w:t>.5</w:t>
      </w:r>
      <w:r w:rsidRPr="00B4767C">
        <w:rPr>
          <w:rFonts w:ascii="Century Gothic" w:hAnsi="Century Gothic"/>
          <w:sz w:val="20"/>
          <w:szCs w:val="20"/>
        </w:rPr>
        <w:t>].</w:t>
      </w:r>
      <w:bookmarkEnd w:id="49"/>
    </w:p>
    <w:p w14:paraId="21F1678E" w14:textId="77777777" w:rsidR="00934991" w:rsidRDefault="009850D3" w:rsidP="009850D3">
      <w:r>
        <w:rPr>
          <w:szCs w:val="20"/>
        </w:rPr>
        <w:t xml:space="preserve">The </w:t>
      </w:r>
      <w:r w:rsidRPr="00D14B60">
        <w:rPr>
          <w:iCs/>
          <w:szCs w:val="20"/>
        </w:rPr>
        <w:t>observed</w:t>
      </w:r>
      <w:r>
        <w:rPr>
          <w:szCs w:val="20"/>
        </w:rPr>
        <w:t xml:space="preserve"> and expected number of diagnostic services related to lung cancer for 2020 for each state and territory are provided in Appendix </w:t>
      </w:r>
      <w:r w:rsidR="004F3E26">
        <w:rPr>
          <w:szCs w:val="20"/>
        </w:rPr>
        <w:t>Table B1</w:t>
      </w:r>
      <w:r w:rsidRPr="00395B12">
        <w:rPr>
          <w:szCs w:val="20"/>
        </w:rPr>
        <w:t>.</w:t>
      </w:r>
      <w:bookmarkEnd w:id="47"/>
    </w:p>
    <w:p w14:paraId="451E7340" w14:textId="62A8E773" w:rsidR="00934991" w:rsidRPr="00202411" w:rsidRDefault="00934991" w:rsidP="00934991">
      <w:pPr>
        <w:pStyle w:val="FigureName"/>
        <w:spacing w:before="480" w:after="200"/>
        <w:ind w:left="1077" w:hanging="1077"/>
      </w:pPr>
      <w:bookmarkStart w:id="50" w:name="_Ref79624912"/>
      <w:bookmarkStart w:id="51" w:name="_Toc83365205"/>
      <w:bookmarkStart w:id="52" w:name="_Toc83720981"/>
      <w:r w:rsidRPr="00202411">
        <w:t>Figure</w:t>
      </w:r>
      <w:bookmarkEnd w:id="50"/>
      <w:r w:rsidR="00440D08">
        <w:t xml:space="preserve"> 1.5</w:t>
      </w:r>
      <w:r>
        <w:tab/>
      </w:r>
      <w:r w:rsidRPr="00202411">
        <w:t>Annual observed and expected number of services for lung cancer-related diagnostic procedures in 2020, by jurisdiction</w:t>
      </w:r>
      <w:bookmarkEnd w:id="51"/>
      <w:bookmarkEnd w:id="52"/>
    </w:p>
    <w:p w14:paraId="3C382EB9" w14:textId="77777777" w:rsidR="00934991" w:rsidRDefault="00834120" w:rsidP="00934991">
      <w:pPr>
        <w:jc w:val="center"/>
        <w:rPr>
          <w:szCs w:val="20"/>
        </w:rPr>
      </w:pPr>
      <w:r w:rsidRPr="00934991">
        <w:rPr>
          <w:noProof/>
          <w:szCs w:val="20"/>
        </w:rPr>
        <w:drawing>
          <wp:inline distT="0" distB="0" distL="0" distR="0" wp14:anchorId="596EED15" wp14:editId="4308A80A">
            <wp:extent cx="4457700" cy="2819400"/>
            <wp:effectExtent l="0" t="0" r="0" b="0"/>
            <wp:docPr id="6" name="Picture 1" descr="The figure is a column graph depicting the number of diagnostic procedures related to lung cancer for each jurisdiction in 2020. Two bars are shown for each jurisdiction, one for the number of observed services and one for the number of expected services. The column bar for observed services is lower than the column bar for expected services for jurisdictions including for NSW and ACT combined, VIC and TAS combined, SA and NT combined and WA. The observed and expected number of services are considered similar for Q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The figure is a column graph depicting the number of diagnostic procedures related to lung cancer for each jurisdiction in 2020. Two bars are shown for each jurisdiction, one for the number of observed services and one for the number of expected services. The column bar for observed services is lower than the column bar for expected services for jurisdictions including for NSW and ACT combined, VIC and TAS combined, SA and NT combined and WA. The observed and expected number of services are considered similar for QL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57700" cy="2819400"/>
                    </a:xfrm>
                    <a:prstGeom prst="rect">
                      <a:avLst/>
                    </a:prstGeom>
                    <a:noFill/>
                    <a:ln>
                      <a:noFill/>
                    </a:ln>
                  </pic:spPr>
                </pic:pic>
              </a:graphicData>
            </a:graphic>
          </wp:inline>
        </w:drawing>
      </w:r>
    </w:p>
    <w:p w14:paraId="52654C31" w14:textId="77777777" w:rsidR="00934991" w:rsidRDefault="00934991" w:rsidP="00934991">
      <w:pPr>
        <w:pStyle w:val="Heading2"/>
        <w:tabs>
          <w:tab w:val="clear" w:pos="1572"/>
          <w:tab w:val="num" w:pos="709"/>
        </w:tabs>
        <w:ind w:left="709" w:hanging="709"/>
        <w:rPr>
          <w:kern w:val="32"/>
        </w:rPr>
      </w:pPr>
      <w:bookmarkStart w:id="53" w:name="_Toc84363185"/>
      <w:r>
        <w:t>Prostate cancer</w:t>
      </w:r>
      <w:bookmarkEnd w:id="53"/>
    </w:p>
    <w:p w14:paraId="1328DD9A" w14:textId="77777777" w:rsidR="009850D3" w:rsidRDefault="009850D3" w:rsidP="00D14B60">
      <w:pPr>
        <w:rPr>
          <w:noProof/>
          <w:szCs w:val="20"/>
        </w:rPr>
      </w:pPr>
      <w:r w:rsidRPr="00BA6326">
        <w:rPr>
          <w:noProof/>
          <w:szCs w:val="20"/>
        </w:rPr>
        <w:t xml:space="preserve">Quantitation of circulating Prostate Specific Antigen (PSA) levels (also known as a PSA blood test) is an </w:t>
      </w:r>
      <w:r w:rsidRPr="00D14B60">
        <w:rPr>
          <w:iCs/>
          <w:szCs w:val="20"/>
        </w:rPr>
        <w:t>initial</w:t>
      </w:r>
      <w:r w:rsidRPr="00BA6326">
        <w:rPr>
          <w:noProof/>
          <w:szCs w:val="20"/>
        </w:rPr>
        <w:t xml:space="preserve"> investigative procedure to inform the diagnosis of prostatic disease including prostate cancer. </w:t>
      </w:r>
      <w:r>
        <w:rPr>
          <w:noProof/>
          <w:szCs w:val="20"/>
        </w:rPr>
        <w:t>PSA tests</w:t>
      </w:r>
      <w:r w:rsidRPr="00BA6326">
        <w:rPr>
          <w:noProof/>
          <w:szCs w:val="20"/>
        </w:rPr>
        <w:t xml:space="preserve"> are usually undertaken in conjunction with other preliminary diagnostic procedures such as digital rectal examination (DRE) of the prostate</w:t>
      </w:r>
      <w:r>
        <w:rPr>
          <w:rStyle w:val="FootnoteReference"/>
          <w:noProof/>
          <w:szCs w:val="20"/>
        </w:rPr>
        <w:footnoteReference w:id="18"/>
      </w:r>
      <w:r w:rsidRPr="00BA6326">
        <w:rPr>
          <w:noProof/>
          <w:szCs w:val="20"/>
        </w:rPr>
        <w:t>, and prostatic ultrasound</w:t>
      </w:r>
      <w:r>
        <w:rPr>
          <w:rStyle w:val="FootnoteReference"/>
          <w:noProof/>
          <w:szCs w:val="20"/>
        </w:rPr>
        <w:footnoteReference w:id="19"/>
      </w:r>
      <w:r w:rsidRPr="00BA6326">
        <w:rPr>
          <w:noProof/>
          <w:szCs w:val="20"/>
        </w:rPr>
        <w:t xml:space="preserve">. An individual MBS item code (66655) exists for PSA testing available once in a 12-month period. </w:t>
      </w:r>
    </w:p>
    <w:p w14:paraId="21CA22B5" w14:textId="77777777" w:rsidR="009850D3" w:rsidRDefault="009850D3" w:rsidP="00D14B60">
      <w:pPr>
        <w:rPr>
          <w:noProof/>
          <w:szCs w:val="20"/>
        </w:rPr>
      </w:pPr>
      <w:r w:rsidRPr="00BA6326">
        <w:rPr>
          <w:noProof/>
          <w:szCs w:val="20"/>
        </w:rPr>
        <w:t xml:space="preserve">Where necessary, these preliminary investigations are then followed by more specific procedures </w:t>
      </w:r>
      <w:r w:rsidRPr="00D14B60">
        <w:rPr>
          <w:iCs/>
          <w:szCs w:val="20"/>
        </w:rPr>
        <w:t>including</w:t>
      </w:r>
      <w:r w:rsidRPr="00BA6326">
        <w:rPr>
          <w:noProof/>
          <w:szCs w:val="20"/>
        </w:rPr>
        <w:t xml:space="preserve"> imaging and biopsies of the prostate gland itself. </w:t>
      </w:r>
    </w:p>
    <w:p w14:paraId="62A23159" w14:textId="77777777" w:rsidR="009850D3" w:rsidRPr="00031186" w:rsidRDefault="009850D3" w:rsidP="00D14B60">
      <w:pPr>
        <w:rPr>
          <w:noProof/>
          <w:szCs w:val="20"/>
        </w:rPr>
      </w:pPr>
      <w:r w:rsidRPr="009B592C">
        <w:rPr>
          <w:noProof/>
          <w:szCs w:val="20"/>
        </w:rPr>
        <w:t xml:space="preserve">Diagnostic </w:t>
      </w:r>
      <w:r w:rsidRPr="00D14B60">
        <w:rPr>
          <w:iCs/>
          <w:szCs w:val="20"/>
        </w:rPr>
        <w:t>procedures</w:t>
      </w:r>
      <w:r w:rsidRPr="009B592C">
        <w:rPr>
          <w:noProof/>
          <w:szCs w:val="20"/>
        </w:rPr>
        <w:t xml:space="preserve"> for suspected prostate cancer </w:t>
      </w:r>
      <w:r>
        <w:rPr>
          <w:noProof/>
          <w:szCs w:val="20"/>
        </w:rPr>
        <w:t xml:space="preserve">examined for these analyses were PSA testing (annual), </w:t>
      </w:r>
      <w:r w:rsidRPr="009B592C">
        <w:rPr>
          <w:noProof/>
          <w:szCs w:val="20"/>
        </w:rPr>
        <w:t>magnetic resonance imaging (MRI) procedures and biopsy procedures of the prostate gland</w:t>
      </w:r>
      <w:r w:rsidRPr="00BA6326">
        <w:rPr>
          <w:noProof/>
          <w:szCs w:val="20"/>
        </w:rPr>
        <w:t xml:space="preserve">. </w:t>
      </w:r>
    </w:p>
    <w:p w14:paraId="034C1AFF" w14:textId="64F16B82" w:rsidR="009850D3" w:rsidRPr="00B35156" w:rsidRDefault="009850D3" w:rsidP="00D14B60">
      <w:pPr>
        <w:rPr>
          <w:szCs w:val="20"/>
        </w:rPr>
      </w:pPr>
      <w:r w:rsidRPr="00B35156">
        <w:rPr>
          <w:szCs w:val="20"/>
        </w:rPr>
        <w:lastRenderedPageBreak/>
        <w:t xml:space="preserve">In 2020, the observed number of services nationally for </w:t>
      </w:r>
      <w:r w:rsidRPr="00B35156">
        <w:rPr>
          <w:noProof/>
          <w:szCs w:val="20"/>
        </w:rPr>
        <w:t xml:space="preserve">prostate cancer-related diagnostic procedures </w:t>
      </w:r>
      <w:r w:rsidRPr="00B35156">
        <w:rPr>
          <w:szCs w:val="20"/>
        </w:rPr>
        <w:t xml:space="preserve">was </w:t>
      </w:r>
      <w:r w:rsidRPr="00B35156">
        <w:rPr>
          <w:noProof/>
          <w:szCs w:val="20"/>
        </w:rPr>
        <w:t>7% lower than expected</w:t>
      </w:r>
      <w:r>
        <w:rPr>
          <w:noProof/>
          <w:szCs w:val="20"/>
        </w:rPr>
        <w:t xml:space="preserve">, with </w:t>
      </w:r>
      <w:r w:rsidRPr="00B35156">
        <w:rPr>
          <w:noProof/>
          <w:szCs w:val="20"/>
        </w:rPr>
        <w:t>50,61</w:t>
      </w:r>
      <w:r>
        <w:rPr>
          <w:noProof/>
          <w:szCs w:val="20"/>
        </w:rPr>
        <w:t>9</w:t>
      </w:r>
      <w:r w:rsidRPr="00B35156">
        <w:rPr>
          <w:noProof/>
          <w:szCs w:val="20"/>
        </w:rPr>
        <w:t xml:space="preserve"> fewer services</w:t>
      </w:r>
      <w:r w:rsidRPr="00B35156">
        <w:rPr>
          <w:szCs w:val="20"/>
        </w:rPr>
        <w:t xml:space="preserve"> </w:t>
      </w:r>
      <w:r w:rsidRPr="00B35156">
        <w:rPr>
          <w:noProof/>
          <w:szCs w:val="20"/>
        </w:rPr>
        <w:t xml:space="preserve">(713,998 </w:t>
      </w:r>
      <w:r>
        <w:rPr>
          <w:noProof/>
          <w:szCs w:val="20"/>
        </w:rPr>
        <w:t xml:space="preserve">services observed </w:t>
      </w:r>
      <w:r w:rsidRPr="00B35156">
        <w:rPr>
          <w:noProof/>
          <w:szCs w:val="20"/>
        </w:rPr>
        <w:t>versus 764,61</w:t>
      </w:r>
      <w:r>
        <w:rPr>
          <w:noProof/>
          <w:szCs w:val="20"/>
        </w:rPr>
        <w:t>7</w:t>
      </w:r>
      <w:r w:rsidRPr="00B35156">
        <w:rPr>
          <w:noProof/>
          <w:szCs w:val="20"/>
        </w:rPr>
        <w:t xml:space="preserve"> services</w:t>
      </w:r>
      <w:r>
        <w:rPr>
          <w:noProof/>
          <w:szCs w:val="20"/>
        </w:rPr>
        <w:t xml:space="preserve"> expected</w:t>
      </w:r>
      <w:r w:rsidRPr="00B35156">
        <w:rPr>
          <w:noProof/>
          <w:szCs w:val="20"/>
        </w:rPr>
        <w:t>)</w:t>
      </w:r>
      <w:r>
        <w:rPr>
          <w:noProof/>
          <w:szCs w:val="20"/>
        </w:rPr>
        <w:t xml:space="preserve"> </w:t>
      </w:r>
      <w:r w:rsidR="0044120B">
        <w:rPr>
          <w:szCs w:val="20"/>
        </w:rPr>
        <w:t>[</w:t>
      </w:r>
      <w:r w:rsidR="0044120B" w:rsidRPr="0096072B">
        <w:rPr>
          <w:szCs w:val="20"/>
          <w:highlight w:val="yellow"/>
        </w:rPr>
        <w:fldChar w:fldCharType="begin"/>
      </w:r>
      <w:r w:rsidR="0044120B" w:rsidRPr="0096072B">
        <w:rPr>
          <w:szCs w:val="20"/>
          <w:highlight w:val="yellow"/>
        </w:rPr>
        <w:instrText xml:space="preserve"> REF _Ref79599482 \h </w:instrText>
      </w:r>
      <w:r w:rsidR="0044120B">
        <w:rPr>
          <w:szCs w:val="20"/>
          <w:highlight w:val="yellow"/>
        </w:rPr>
        <w:instrText xml:space="preserve"> \* MERGEFORMAT </w:instrText>
      </w:r>
      <w:r w:rsidR="0044120B" w:rsidRPr="0096072B">
        <w:rPr>
          <w:szCs w:val="20"/>
          <w:highlight w:val="yellow"/>
        </w:rPr>
      </w:r>
      <w:r w:rsidR="0044120B" w:rsidRPr="0096072B">
        <w:rPr>
          <w:szCs w:val="20"/>
          <w:highlight w:val="yellow"/>
        </w:rPr>
        <w:fldChar w:fldCharType="separate"/>
      </w:r>
      <w:r w:rsidR="00533EE6" w:rsidRPr="00533EE6">
        <w:rPr>
          <w:szCs w:val="20"/>
        </w:rPr>
        <w:t>Table 1</w:t>
      </w:r>
      <w:r w:rsidR="0044120B" w:rsidRPr="0096072B">
        <w:rPr>
          <w:szCs w:val="20"/>
          <w:highlight w:val="yellow"/>
        </w:rPr>
        <w:fldChar w:fldCharType="end"/>
      </w:r>
      <w:r w:rsidR="0044120B" w:rsidRPr="0096072B">
        <w:rPr>
          <w:szCs w:val="20"/>
        </w:rPr>
        <w:t>;</w:t>
      </w:r>
      <w:r w:rsidR="0044120B">
        <w:rPr>
          <w:szCs w:val="20"/>
        </w:rPr>
        <w:t xml:space="preserve"> Figure 1]</w:t>
      </w:r>
      <w:r w:rsidR="0044120B" w:rsidRPr="001568D1">
        <w:rPr>
          <w:szCs w:val="20"/>
        </w:rPr>
        <w:t>.</w:t>
      </w:r>
    </w:p>
    <w:p w14:paraId="19B45F30" w14:textId="77777777" w:rsidR="009850D3" w:rsidRDefault="009850D3" w:rsidP="00D14B60">
      <w:pPr>
        <w:rPr>
          <w:szCs w:val="20"/>
        </w:rPr>
      </w:pPr>
      <w:r w:rsidRPr="00B35156">
        <w:rPr>
          <w:szCs w:val="20"/>
        </w:rPr>
        <w:t xml:space="preserve">The observed number of services for </w:t>
      </w:r>
      <w:r>
        <w:rPr>
          <w:szCs w:val="20"/>
        </w:rPr>
        <w:t>2020</w:t>
      </w:r>
      <w:r w:rsidRPr="00B35156">
        <w:rPr>
          <w:szCs w:val="20"/>
        </w:rPr>
        <w:t xml:space="preserve"> was </w:t>
      </w:r>
      <w:r>
        <w:rPr>
          <w:szCs w:val="20"/>
        </w:rPr>
        <w:t>lower than expected for most</w:t>
      </w:r>
      <w:r w:rsidRPr="00B35156">
        <w:rPr>
          <w:szCs w:val="20"/>
        </w:rPr>
        <w:t xml:space="preserve"> jurisdictions</w:t>
      </w:r>
      <w:r>
        <w:rPr>
          <w:szCs w:val="20"/>
        </w:rPr>
        <w:t xml:space="preserve">. The number of observed services was </w:t>
      </w:r>
      <w:r w:rsidRPr="00B35156">
        <w:rPr>
          <w:szCs w:val="20"/>
        </w:rPr>
        <w:t>5</w:t>
      </w:r>
      <w:bookmarkStart w:id="54" w:name="_Hlk80117918"/>
      <w:r>
        <w:t>–</w:t>
      </w:r>
      <w:bookmarkEnd w:id="54"/>
      <w:r w:rsidRPr="00B35156">
        <w:rPr>
          <w:szCs w:val="20"/>
        </w:rPr>
        <w:t xml:space="preserve">9% </w:t>
      </w:r>
      <w:r>
        <w:rPr>
          <w:szCs w:val="20"/>
        </w:rPr>
        <w:t xml:space="preserve">lower than expected for </w:t>
      </w:r>
      <w:bookmarkStart w:id="55" w:name="_Hlk84947235"/>
      <w:r>
        <w:rPr>
          <w:szCs w:val="20"/>
        </w:rPr>
        <w:t>NSW/ACT, VIC/TAS, QLD, and WA</w:t>
      </w:r>
      <w:bookmarkEnd w:id="55"/>
      <w:r>
        <w:rPr>
          <w:szCs w:val="20"/>
        </w:rPr>
        <w:t xml:space="preserve">. The observed number of services was similar to expected, that is, less than 5% difference, for SA/NT (2% lower) </w:t>
      </w:r>
      <w:r w:rsidR="004F3E26" w:rsidRPr="004F3E26">
        <w:rPr>
          <w:szCs w:val="20"/>
        </w:rPr>
        <w:t>[Table B1; Figure 1</w:t>
      </w:r>
      <w:r w:rsidR="004F3E26">
        <w:rPr>
          <w:szCs w:val="20"/>
        </w:rPr>
        <w:t>.6</w:t>
      </w:r>
      <w:r>
        <w:rPr>
          <w:szCs w:val="20"/>
        </w:rPr>
        <w:t>]</w:t>
      </w:r>
      <w:r w:rsidRPr="00B35156">
        <w:rPr>
          <w:szCs w:val="20"/>
        </w:rPr>
        <w:t xml:space="preserve">. </w:t>
      </w:r>
      <w:r>
        <w:rPr>
          <w:szCs w:val="20"/>
        </w:rPr>
        <w:t>For each state/territory:</w:t>
      </w:r>
    </w:p>
    <w:p w14:paraId="37B470E8" w14:textId="77777777" w:rsidR="009850D3" w:rsidRPr="00B4767C" w:rsidRDefault="009850D3" w:rsidP="00D14B60">
      <w:pPr>
        <w:pStyle w:val="ListParagraph"/>
        <w:numPr>
          <w:ilvl w:val="0"/>
          <w:numId w:val="6"/>
        </w:numPr>
        <w:spacing w:line="280" w:lineRule="atLeast"/>
        <w:ind w:left="714" w:hanging="357"/>
        <w:jc w:val="both"/>
        <w:rPr>
          <w:rFonts w:ascii="Century Gothic" w:hAnsi="Century Gothic"/>
          <w:sz w:val="20"/>
          <w:szCs w:val="20"/>
        </w:rPr>
      </w:pPr>
      <w:r w:rsidRPr="00B4767C">
        <w:rPr>
          <w:rFonts w:ascii="Century Gothic" w:hAnsi="Century Gothic"/>
          <w:sz w:val="20"/>
          <w:szCs w:val="20"/>
        </w:rPr>
        <w:t xml:space="preserve">The observed number of services was </w:t>
      </w:r>
      <w:r w:rsidRPr="009850D3">
        <w:rPr>
          <w:rFonts w:ascii="Century Gothic" w:hAnsi="Century Gothic"/>
          <w:noProof/>
          <w:color w:val="000000"/>
          <w:sz w:val="20"/>
          <w:szCs w:val="20"/>
        </w:rPr>
        <w:t>9% lower than expected for VIC/TAS, with 19,953 fewer services (191,289 services observed versus 211,242 services expected)</w:t>
      </w:r>
      <w:r w:rsidRPr="00B4767C">
        <w:rPr>
          <w:rFonts w:ascii="Century Gothic" w:hAnsi="Century Gothic"/>
          <w:sz w:val="20"/>
          <w:szCs w:val="20"/>
        </w:rPr>
        <w:t xml:space="preserve">; </w:t>
      </w:r>
      <w:r w:rsidRPr="009850D3">
        <w:rPr>
          <w:rFonts w:ascii="Century Gothic" w:hAnsi="Century Gothic"/>
          <w:noProof/>
          <w:color w:val="000000"/>
          <w:sz w:val="20"/>
          <w:szCs w:val="20"/>
        </w:rPr>
        <w:t>7% lower than expected for WA, with 6,849 fewer services (87,061 services observed versus 93,910 services expected);</w:t>
      </w:r>
      <w:r w:rsidRPr="00B4767C">
        <w:rPr>
          <w:rFonts w:ascii="Century Gothic" w:hAnsi="Century Gothic"/>
          <w:sz w:val="20"/>
          <w:szCs w:val="20"/>
        </w:rPr>
        <w:t xml:space="preserve"> </w:t>
      </w:r>
      <w:r w:rsidRPr="009850D3">
        <w:rPr>
          <w:rFonts w:ascii="Century Gothic" w:hAnsi="Century Gothic"/>
          <w:noProof/>
          <w:color w:val="000000"/>
          <w:sz w:val="20"/>
          <w:szCs w:val="20"/>
        </w:rPr>
        <w:t>6% lower than expected for NSW/ACT, with 14,475 fewer services</w:t>
      </w:r>
      <w:r w:rsidRPr="009850D3">
        <w:rPr>
          <w:rFonts w:ascii="Century Gothic" w:hAnsi="Century Gothic"/>
          <w:color w:val="000000"/>
          <w:sz w:val="20"/>
          <w:szCs w:val="20"/>
        </w:rPr>
        <w:t xml:space="preserve"> </w:t>
      </w:r>
      <w:r w:rsidRPr="009850D3">
        <w:rPr>
          <w:rFonts w:ascii="Century Gothic" w:hAnsi="Century Gothic"/>
          <w:noProof/>
          <w:color w:val="000000"/>
          <w:sz w:val="20"/>
          <w:szCs w:val="20"/>
        </w:rPr>
        <w:t xml:space="preserve">(222,797 services observed versus 237,272 services expected); </w:t>
      </w:r>
      <w:r w:rsidRPr="00B4767C">
        <w:rPr>
          <w:rFonts w:ascii="Century Gothic" w:hAnsi="Century Gothic"/>
          <w:sz w:val="20"/>
          <w:szCs w:val="20"/>
        </w:rPr>
        <w:t xml:space="preserve">and </w:t>
      </w:r>
      <w:r w:rsidRPr="009850D3">
        <w:rPr>
          <w:rFonts w:ascii="Century Gothic" w:hAnsi="Century Gothic"/>
          <w:noProof/>
          <w:color w:val="000000"/>
          <w:sz w:val="20"/>
          <w:szCs w:val="20"/>
        </w:rPr>
        <w:t>5% lower than expected for QLD, with 7,758 fewer services</w:t>
      </w:r>
      <w:r w:rsidRPr="009850D3">
        <w:rPr>
          <w:rFonts w:ascii="Century Gothic" w:hAnsi="Century Gothic"/>
          <w:color w:val="000000"/>
          <w:sz w:val="20"/>
          <w:szCs w:val="20"/>
        </w:rPr>
        <w:t xml:space="preserve"> </w:t>
      </w:r>
      <w:r w:rsidRPr="009850D3">
        <w:rPr>
          <w:rFonts w:ascii="Century Gothic" w:hAnsi="Century Gothic"/>
          <w:noProof/>
          <w:color w:val="000000"/>
          <w:sz w:val="20"/>
          <w:szCs w:val="20"/>
        </w:rPr>
        <w:t>(149,285 services observed versus 157,043 services expected)</w:t>
      </w:r>
      <w:r w:rsidRPr="009850D3">
        <w:rPr>
          <w:rFonts w:ascii="Century Gothic" w:hAnsi="Century Gothic"/>
          <w:color w:val="000000"/>
          <w:sz w:val="20"/>
          <w:szCs w:val="20"/>
        </w:rPr>
        <w:t xml:space="preserve">. </w:t>
      </w:r>
      <w:r w:rsidRPr="00B4767C">
        <w:rPr>
          <w:rFonts w:ascii="Century Gothic" w:hAnsi="Century Gothic"/>
          <w:sz w:val="20"/>
          <w:szCs w:val="20"/>
        </w:rPr>
        <w:t xml:space="preserve">The observed number of services was similar to expected for SA/NT (2% lower), with 1,584 fewer services </w:t>
      </w:r>
      <w:r w:rsidRPr="009850D3">
        <w:rPr>
          <w:rFonts w:ascii="Century Gothic" w:hAnsi="Century Gothic"/>
          <w:noProof/>
          <w:color w:val="000000"/>
          <w:sz w:val="20"/>
          <w:szCs w:val="20"/>
        </w:rPr>
        <w:t>(63,566 services observed versus 65,150 services expected</w:t>
      </w:r>
      <w:r w:rsidRPr="00B4767C">
        <w:rPr>
          <w:rFonts w:ascii="Century Gothic" w:hAnsi="Century Gothic"/>
          <w:sz w:val="20"/>
          <w:szCs w:val="20"/>
        </w:rPr>
        <w:t xml:space="preserve">) </w:t>
      </w:r>
      <w:r w:rsidR="004F3E26" w:rsidRPr="004F3E26">
        <w:rPr>
          <w:rFonts w:ascii="Century Gothic" w:hAnsi="Century Gothic"/>
          <w:sz w:val="20"/>
          <w:szCs w:val="20"/>
        </w:rPr>
        <w:t>[Table B1; Figure 1</w:t>
      </w:r>
      <w:r w:rsidR="004F3E26">
        <w:rPr>
          <w:rFonts w:ascii="Century Gothic" w:hAnsi="Century Gothic"/>
          <w:sz w:val="20"/>
          <w:szCs w:val="20"/>
        </w:rPr>
        <w:t>.6</w:t>
      </w:r>
      <w:r w:rsidRPr="00B4767C">
        <w:rPr>
          <w:rFonts w:ascii="Century Gothic" w:hAnsi="Century Gothic"/>
          <w:sz w:val="20"/>
          <w:szCs w:val="20"/>
        </w:rPr>
        <w:t>].</w:t>
      </w:r>
    </w:p>
    <w:p w14:paraId="205C552A" w14:textId="77777777" w:rsidR="00934991" w:rsidRDefault="009850D3" w:rsidP="009850D3">
      <w:r>
        <w:rPr>
          <w:szCs w:val="20"/>
        </w:rPr>
        <w:t xml:space="preserve">The observed and expected number of diagnostic services related to prostate cancer for 2020 for each state and territory are provided in Appendix </w:t>
      </w:r>
      <w:r w:rsidR="004F3E26">
        <w:rPr>
          <w:szCs w:val="20"/>
        </w:rPr>
        <w:t>Table B1</w:t>
      </w:r>
      <w:r w:rsidRPr="00395B12">
        <w:rPr>
          <w:szCs w:val="20"/>
        </w:rPr>
        <w:t>.</w:t>
      </w:r>
    </w:p>
    <w:p w14:paraId="113C00C8" w14:textId="27EF951E" w:rsidR="00934991" w:rsidRPr="00202411" w:rsidRDefault="00934991" w:rsidP="00934991">
      <w:pPr>
        <w:pStyle w:val="FigureName"/>
        <w:spacing w:before="480" w:after="200"/>
        <w:ind w:left="1077" w:hanging="1077"/>
      </w:pPr>
      <w:bookmarkStart w:id="56" w:name="_Ref79624950"/>
      <w:bookmarkStart w:id="57" w:name="_Toc83365206"/>
      <w:bookmarkStart w:id="58" w:name="_Toc83720982"/>
      <w:r w:rsidRPr="00202411">
        <w:t>Figure</w:t>
      </w:r>
      <w:bookmarkEnd w:id="56"/>
      <w:r w:rsidR="00914671">
        <w:t xml:space="preserve"> 1.6</w:t>
      </w:r>
      <w:r>
        <w:tab/>
      </w:r>
      <w:r w:rsidRPr="00202411">
        <w:t>Annual observed and expected number of services for prostate cancer-related diagnostic procedures in 2020, by jurisdiction</w:t>
      </w:r>
      <w:bookmarkEnd w:id="57"/>
      <w:bookmarkEnd w:id="58"/>
    </w:p>
    <w:p w14:paraId="45F6A7F0" w14:textId="77777777" w:rsidR="00934991" w:rsidRPr="00B35156" w:rsidRDefault="00834120" w:rsidP="00934991">
      <w:pPr>
        <w:jc w:val="center"/>
        <w:rPr>
          <w:szCs w:val="20"/>
        </w:rPr>
      </w:pPr>
      <w:r w:rsidRPr="00934991">
        <w:rPr>
          <w:noProof/>
          <w:szCs w:val="20"/>
        </w:rPr>
        <w:drawing>
          <wp:inline distT="0" distB="0" distL="0" distR="0" wp14:anchorId="407D5DE5" wp14:editId="5239ED6F">
            <wp:extent cx="4457700" cy="2819400"/>
            <wp:effectExtent l="0" t="0" r="0" b="0"/>
            <wp:docPr id="7" name="Picture 1" descr="The figure is a column graph depicting the number of diagnostic procedures related to prostate cancer for each jurisdiction in 2020. Two bars are shown for each jurisdiction, one for the number of observed services and one for the number of expected services. The column bar for observed services is lower than the column bar for expected services for jurisdictions including NSW and ACT combined, VIC and TAS combined, QLD, and WA. The observed and expected number of services are considered similar for SA and NT comb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The figure is a column graph depicting the number of diagnostic procedures related to prostate cancer for each jurisdiction in 2020. Two bars are shown for each jurisdiction, one for the number of observed services and one for the number of expected services. The column bar for observed services is lower than the column bar for expected services for jurisdictions including NSW and ACT combined, VIC and TAS combined, QLD, and WA. The observed and expected number of services are considered similar for SA and NT combin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57700" cy="2819400"/>
                    </a:xfrm>
                    <a:prstGeom prst="rect">
                      <a:avLst/>
                    </a:prstGeom>
                    <a:noFill/>
                    <a:ln>
                      <a:noFill/>
                    </a:ln>
                  </pic:spPr>
                </pic:pic>
              </a:graphicData>
            </a:graphic>
          </wp:inline>
        </w:drawing>
      </w:r>
    </w:p>
    <w:p w14:paraId="22956D45" w14:textId="77777777" w:rsidR="00934991" w:rsidRDefault="00934991" w:rsidP="00934991"/>
    <w:p w14:paraId="598DA3B1" w14:textId="77777777" w:rsidR="00934991" w:rsidRDefault="00934991" w:rsidP="00934991">
      <w:pPr>
        <w:pStyle w:val="Heading2"/>
        <w:tabs>
          <w:tab w:val="clear" w:pos="1572"/>
          <w:tab w:val="num" w:pos="709"/>
        </w:tabs>
        <w:ind w:left="709" w:hanging="709"/>
        <w:rPr>
          <w:kern w:val="32"/>
        </w:rPr>
      </w:pPr>
      <w:bookmarkStart w:id="59" w:name="_Toc84363186"/>
      <w:r>
        <w:t>Stomach and pancreatic cancer</w:t>
      </w:r>
      <w:bookmarkEnd w:id="59"/>
    </w:p>
    <w:p w14:paraId="29CD9CE9" w14:textId="77777777" w:rsidR="009850D3" w:rsidRPr="00DB233C" w:rsidRDefault="009850D3" w:rsidP="00D14B60">
      <w:pPr>
        <w:rPr>
          <w:szCs w:val="20"/>
        </w:rPr>
      </w:pPr>
      <w:r w:rsidRPr="00E31B41">
        <w:rPr>
          <w:szCs w:val="20"/>
        </w:rPr>
        <w:t xml:space="preserve">Diagnostic procedures used for the detection of stomach and pancreatic cancers examined in the report include endoscopic ultrasound procedures (endoscopy with ultrasound imaging), with or without biopsy; oesophagoscopy with biopsy procedures and whole body </w:t>
      </w:r>
      <w:r w:rsidRPr="00E31B41">
        <w:rPr>
          <w:szCs w:val="20"/>
        </w:rPr>
        <w:lastRenderedPageBreak/>
        <w:t>(68Ga</w:t>
      </w:r>
      <w:r w:rsidRPr="00E31B41">
        <w:rPr>
          <w:szCs w:val="20"/>
        </w:rPr>
        <w:noBreakHyphen/>
        <w:t>DOTA</w:t>
      </w:r>
      <w:r w:rsidRPr="00E31B41">
        <w:rPr>
          <w:szCs w:val="20"/>
        </w:rPr>
        <w:noBreakHyphen/>
      </w:r>
      <w:r w:rsidRPr="00D14B60">
        <w:rPr>
          <w:iCs/>
          <w:szCs w:val="20"/>
        </w:rPr>
        <w:t>peptide</w:t>
      </w:r>
      <w:r w:rsidRPr="00E31B41">
        <w:rPr>
          <w:szCs w:val="20"/>
        </w:rPr>
        <w:t>) Positron Emission Tomography (PET) studies.</w:t>
      </w:r>
      <w:r w:rsidRPr="00DB233C">
        <w:rPr>
          <w:szCs w:val="20"/>
        </w:rPr>
        <w:t xml:space="preserve"> </w:t>
      </w:r>
      <w:r>
        <w:rPr>
          <w:szCs w:val="20"/>
        </w:rPr>
        <w:t xml:space="preserve">Some of these diagnostic procedures </w:t>
      </w:r>
      <w:r w:rsidRPr="00F863C8">
        <w:rPr>
          <w:szCs w:val="20"/>
        </w:rPr>
        <w:t xml:space="preserve">may </w:t>
      </w:r>
      <w:r>
        <w:rPr>
          <w:szCs w:val="20"/>
        </w:rPr>
        <w:t xml:space="preserve">also </w:t>
      </w:r>
      <w:r w:rsidRPr="00F863C8">
        <w:rPr>
          <w:szCs w:val="20"/>
        </w:rPr>
        <w:t xml:space="preserve">be used for diagnosing </w:t>
      </w:r>
      <w:r>
        <w:rPr>
          <w:szCs w:val="20"/>
        </w:rPr>
        <w:t>oesophageal</w:t>
      </w:r>
      <w:r w:rsidRPr="00F863C8">
        <w:rPr>
          <w:szCs w:val="20"/>
        </w:rPr>
        <w:t xml:space="preserve"> cancer.</w:t>
      </w:r>
      <w:r>
        <w:rPr>
          <w:szCs w:val="20"/>
        </w:rPr>
        <w:t xml:space="preserve"> </w:t>
      </w:r>
    </w:p>
    <w:p w14:paraId="500967CB" w14:textId="6207D76D" w:rsidR="009850D3" w:rsidRPr="00B35156" w:rsidRDefault="009850D3" w:rsidP="00D14B60">
      <w:pPr>
        <w:rPr>
          <w:szCs w:val="20"/>
        </w:rPr>
      </w:pPr>
      <w:r w:rsidRPr="00B35156">
        <w:rPr>
          <w:szCs w:val="20"/>
        </w:rPr>
        <w:t xml:space="preserve">In 2020, the observed number of services nationally for </w:t>
      </w:r>
      <w:r>
        <w:rPr>
          <w:szCs w:val="20"/>
        </w:rPr>
        <w:t xml:space="preserve">diagnostic procedures related to </w:t>
      </w:r>
      <w:r>
        <w:rPr>
          <w:noProof/>
          <w:szCs w:val="20"/>
        </w:rPr>
        <w:t xml:space="preserve">stomach and </w:t>
      </w:r>
      <w:r w:rsidRPr="00B35156">
        <w:rPr>
          <w:noProof/>
          <w:szCs w:val="20"/>
        </w:rPr>
        <w:t xml:space="preserve">pancreatic cancers </w:t>
      </w:r>
      <w:r w:rsidRPr="00B35156">
        <w:rPr>
          <w:szCs w:val="20"/>
        </w:rPr>
        <w:t xml:space="preserve">was </w:t>
      </w:r>
      <w:r w:rsidRPr="00B35156">
        <w:rPr>
          <w:noProof/>
          <w:szCs w:val="20"/>
        </w:rPr>
        <w:t>6% lower than expected</w:t>
      </w:r>
      <w:r>
        <w:rPr>
          <w:noProof/>
          <w:szCs w:val="20"/>
        </w:rPr>
        <w:t>, with 870 fewer services</w:t>
      </w:r>
      <w:r w:rsidRPr="00B35156">
        <w:rPr>
          <w:szCs w:val="20"/>
        </w:rPr>
        <w:t xml:space="preserve"> </w:t>
      </w:r>
      <w:r w:rsidRPr="00B35156">
        <w:rPr>
          <w:noProof/>
          <w:szCs w:val="20"/>
        </w:rPr>
        <w:t>(12,990</w:t>
      </w:r>
      <w:r>
        <w:rPr>
          <w:noProof/>
          <w:szCs w:val="20"/>
        </w:rPr>
        <w:t xml:space="preserve"> services </w:t>
      </w:r>
      <w:r w:rsidRPr="00D14B60">
        <w:rPr>
          <w:iCs/>
          <w:szCs w:val="20"/>
        </w:rPr>
        <w:t>observed</w:t>
      </w:r>
      <w:r>
        <w:rPr>
          <w:noProof/>
          <w:szCs w:val="20"/>
        </w:rPr>
        <w:t xml:space="preserve"> versus </w:t>
      </w:r>
      <w:r w:rsidRPr="00B35156">
        <w:rPr>
          <w:noProof/>
          <w:szCs w:val="20"/>
        </w:rPr>
        <w:t xml:space="preserve">13,860 </w:t>
      </w:r>
      <w:r>
        <w:rPr>
          <w:noProof/>
          <w:szCs w:val="20"/>
        </w:rPr>
        <w:t xml:space="preserve">services expected) </w:t>
      </w:r>
      <w:r w:rsidR="0044120B">
        <w:rPr>
          <w:szCs w:val="20"/>
        </w:rPr>
        <w:t>[</w:t>
      </w:r>
      <w:r w:rsidR="0044120B" w:rsidRPr="0096072B">
        <w:rPr>
          <w:szCs w:val="20"/>
          <w:highlight w:val="yellow"/>
        </w:rPr>
        <w:fldChar w:fldCharType="begin"/>
      </w:r>
      <w:r w:rsidR="0044120B" w:rsidRPr="0096072B">
        <w:rPr>
          <w:szCs w:val="20"/>
          <w:highlight w:val="yellow"/>
        </w:rPr>
        <w:instrText xml:space="preserve"> REF _Ref79599482 \h </w:instrText>
      </w:r>
      <w:r w:rsidR="0044120B">
        <w:rPr>
          <w:szCs w:val="20"/>
          <w:highlight w:val="yellow"/>
        </w:rPr>
        <w:instrText xml:space="preserve"> \* MERGEFORMAT </w:instrText>
      </w:r>
      <w:r w:rsidR="0044120B" w:rsidRPr="0096072B">
        <w:rPr>
          <w:szCs w:val="20"/>
          <w:highlight w:val="yellow"/>
        </w:rPr>
      </w:r>
      <w:r w:rsidR="0044120B" w:rsidRPr="0096072B">
        <w:rPr>
          <w:szCs w:val="20"/>
          <w:highlight w:val="yellow"/>
        </w:rPr>
        <w:fldChar w:fldCharType="separate"/>
      </w:r>
      <w:r w:rsidR="00533EE6" w:rsidRPr="00533EE6">
        <w:rPr>
          <w:szCs w:val="20"/>
        </w:rPr>
        <w:t>Table 1</w:t>
      </w:r>
      <w:r w:rsidR="0044120B" w:rsidRPr="0096072B">
        <w:rPr>
          <w:szCs w:val="20"/>
          <w:highlight w:val="yellow"/>
        </w:rPr>
        <w:fldChar w:fldCharType="end"/>
      </w:r>
      <w:r w:rsidR="0044120B" w:rsidRPr="0096072B">
        <w:rPr>
          <w:szCs w:val="20"/>
        </w:rPr>
        <w:t>;</w:t>
      </w:r>
      <w:r w:rsidR="0044120B">
        <w:rPr>
          <w:szCs w:val="20"/>
        </w:rPr>
        <w:t xml:space="preserve"> Figure 1]</w:t>
      </w:r>
      <w:r w:rsidR="0044120B" w:rsidRPr="001568D1">
        <w:rPr>
          <w:szCs w:val="20"/>
        </w:rPr>
        <w:t>.</w:t>
      </w:r>
    </w:p>
    <w:p w14:paraId="13DFA5B9" w14:textId="77777777" w:rsidR="009850D3" w:rsidRDefault="009850D3" w:rsidP="00D14B60">
      <w:pPr>
        <w:rPr>
          <w:szCs w:val="20"/>
        </w:rPr>
      </w:pPr>
      <w:r w:rsidRPr="00B35156">
        <w:rPr>
          <w:szCs w:val="20"/>
        </w:rPr>
        <w:t xml:space="preserve">The observed </w:t>
      </w:r>
      <w:r w:rsidRPr="00D14B60">
        <w:rPr>
          <w:iCs/>
          <w:szCs w:val="20"/>
        </w:rPr>
        <w:t>number</w:t>
      </w:r>
      <w:r w:rsidRPr="00B35156">
        <w:rPr>
          <w:szCs w:val="20"/>
        </w:rPr>
        <w:t xml:space="preserve"> of </w:t>
      </w:r>
      <w:r>
        <w:rPr>
          <w:szCs w:val="20"/>
        </w:rPr>
        <w:t xml:space="preserve">services for 2020 </w:t>
      </w:r>
      <w:r w:rsidRPr="00B35156">
        <w:rPr>
          <w:szCs w:val="20"/>
        </w:rPr>
        <w:t xml:space="preserve">was </w:t>
      </w:r>
      <w:r>
        <w:rPr>
          <w:szCs w:val="20"/>
        </w:rPr>
        <w:t xml:space="preserve">lower than expected for most jurisdictions. </w:t>
      </w:r>
      <w:bookmarkStart w:id="60" w:name="_Hlk80128313"/>
      <w:r>
        <w:rPr>
          <w:szCs w:val="20"/>
        </w:rPr>
        <w:t xml:space="preserve">The number of observed services </w:t>
      </w:r>
      <w:bookmarkEnd w:id="60"/>
      <w:r>
        <w:rPr>
          <w:szCs w:val="20"/>
        </w:rPr>
        <w:t xml:space="preserve">was </w:t>
      </w:r>
      <w:r w:rsidRPr="00B35156">
        <w:rPr>
          <w:szCs w:val="20"/>
        </w:rPr>
        <w:t>5</w:t>
      </w:r>
      <w:r w:rsidRPr="002D28EF">
        <w:rPr>
          <w:szCs w:val="20"/>
        </w:rPr>
        <w:t>-</w:t>
      </w:r>
      <w:r w:rsidRPr="00B35156">
        <w:rPr>
          <w:szCs w:val="20"/>
        </w:rPr>
        <w:t xml:space="preserve">14% </w:t>
      </w:r>
      <w:r>
        <w:rPr>
          <w:szCs w:val="20"/>
        </w:rPr>
        <w:t>lower than expected</w:t>
      </w:r>
      <w:r w:rsidRPr="00B35156">
        <w:rPr>
          <w:szCs w:val="20"/>
        </w:rPr>
        <w:t xml:space="preserve"> for </w:t>
      </w:r>
      <w:bookmarkStart w:id="61" w:name="_Hlk84947286"/>
      <w:r>
        <w:rPr>
          <w:szCs w:val="20"/>
        </w:rPr>
        <w:t>NSW/ACT</w:t>
      </w:r>
      <w:r w:rsidRPr="00B35156">
        <w:rPr>
          <w:szCs w:val="20"/>
        </w:rPr>
        <w:t xml:space="preserve">, </w:t>
      </w:r>
      <w:r>
        <w:rPr>
          <w:szCs w:val="20"/>
        </w:rPr>
        <w:t>VIC/TAS</w:t>
      </w:r>
      <w:r w:rsidRPr="00B35156">
        <w:rPr>
          <w:szCs w:val="20"/>
        </w:rPr>
        <w:t xml:space="preserve">, and </w:t>
      </w:r>
      <w:r>
        <w:rPr>
          <w:szCs w:val="20"/>
        </w:rPr>
        <w:t>WA</w:t>
      </w:r>
      <w:bookmarkEnd w:id="61"/>
      <w:r>
        <w:rPr>
          <w:szCs w:val="20"/>
        </w:rPr>
        <w:t xml:space="preserve">. </w:t>
      </w:r>
      <w:r w:rsidRPr="00B35156">
        <w:rPr>
          <w:szCs w:val="20"/>
        </w:rPr>
        <w:t>The observed number of services</w:t>
      </w:r>
      <w:r>
        <w:rPr>
          <w:szCs w:val="20"/>
        </w:rPr>
        <w:t xml:space="preserve"> was </w:t>
      </w:r>
      <w:r w:rsidRPr="00B35156">
        <w:rPr>
          <w:szCs w:val="20"/>
        </w:rPr>
        <w:t xml:space="preserve">13% </w:t>
      </w:r>
      <w:r>
        <w:rPr>
          <w:szCs w:val="20"/>
        </w:rPr>
        <w:t>higher</w:t>
      </w:r>
      <w:r w:rsidRPr="00B35156">
        <w:rPr>
          <w:szCs w:val="20"/>
        </w:rPr>
        <w:t xml:space="preserve"> than expected</w:t>
      </w:r>
      <w:r>
        <w:rPr>
          <w:szCs w:val="20"/>
        </w:rPr>
        <w:t xml:space="preserve"> for QLD,</w:t>
      </w:r>
      <w:r w:rsidRPr="00B35156">
        <w:rPr>
          <w:szCs w:val="20"/>
        </w:rPr>
        <w:t xml:space="preserve"> </w:t>
      </w:r>
      <w:r>
        <w:rPr>
          <w:szCs w:val="20"/>
        </w:rPr>
        <w:t>and similar to expected</w:t>
      </w:r>
      <w:r w:rsidRPr="00DD4E4D">
        <w:rPr>
          <w:szCs w:val="20"/>
        </w:rPr>
        <w:t xml:space="preserve"> </w:t>
      </w:r>
      <w:r>
        <w:rPr>
          <w:szCs w:val="20"/>
        </w:rPr>
        <w:t>that is, less than 5% difference, for SA/NT</w:t>
      </w:r>
      <w:r w:rsidRPr="00A20660">
        <w:rPr>
          <w:szCs w:val="20"/>
        </w:rPr>
        <w:t xml:space="preserve"> </w:t>
      </w:r>
      <w:r>
        <w:rPr>
          <w:szCs w:val="20"/>
        </w:rPr>
        <w:t xml:space="preserve">(3% higher), </w:t>
      </w:r>
      <w:r w:rsidR="004F3E26" w:rsidRPr="004F3E26">
        <w:rPr>
          <w:szCs w:val="20"/>
        </w:rPr>
        <w:t>[Table B1; Figure 1</w:t>
      </w:r>
      <w:r w:rsidR="004F3E26">
        <w:rPr>
          <w:szCs w:val="20"/>
        </w:rPr>
        <w:t>.7</w:t>
      </w:r>
      <w:r>
        <w:rPr>
          <w:szCs w:val="20"/>
        </w:rPr>
        <w:t>]</w:t>
      </w:r>
      <w:r w:rsidRPr="00B35156">
        <w:rPr>
          <w:szCs w:val="20"/>
        </w:rPr>
        <w:t>.</w:t>
      </w:r>
      <w:r>
        <w:rPr>
          <w:szCs w:val="20"/>
        </w:rPr>
        <w:t xml:space="preserve"> For each state/territory:</w:t>
      </w:r>
    </w:p>
    <w:p w14:paraId="05E56EEC" w14:textId="77777777" w:rsidR="009850D3" w:rsidRPr="009850D3" w:rsidRDefault="009850D3" w:rsidP="00D14B60">
      <w:pPr>
        <w:pStyle w:val="ListParagraph"/>
        <w:numPr>
          <w:ilvl w:val="0"/>
          <w:numId w:val="6"/>
        </w:numPr>
        <w:spacing w:line="280" w:lineRule="atLeast"/>
        <w:ind w:left="714" w:hanging="357"/>
        <w:jc w:val="both"/>
        <w:rPr>
          <w:rFonts w:ascii="Century Gothic" w:hAnsi="Century Gothic"/>
          <w:sz w:val="20"/>
          <w:szCs w:val="20"/>
          <w:shd w:val="clear" w:color="auto" w:fill="FFF2CC"/>
        </w:rPr>
      </w:pPr>
      <w:bookmarkStart w:id="62" w:name="_Hlk81475830"/>
      <w:r w:rsidRPr="00E31B41">
        <w:rPr>
          <w:rFonts w:ascii="Century Gothic" w:hAnsi="Century Gothic"/>
          <w:sz w:val="20"/>
          <w:szCs w:val="20"/>
        </w:rPr>
        <w:t xml:space="preserve">The observed number of services was </w:t>
      </w:r>
      <w:r w:rsidRPr="009850D3">
        <w:rPr>
          <w:rFonts w:ascii="Century Gothic" w:hAnsi="Century Gothic"/>
          <w:noProof/>
          <w:color w:val="000000"/>
          <w:sz w:val="20"/>
          <w:szCs w:val="20"/>
        </w:rPr>
        <w:t>14% lower than expected for NSW/ACT, with 842 fewer services (5,292 services observed versus 6,134 services expected)</w:t>
      </w:r>
      <w:r w:rsidRPr="00E31B41">
        <w:rPr>
          <w:rFonts w:ascii="Century Gothic" w:hAnsi="Century Gothic"/>
          <w:sz w:val="20"/>
          <w:szCs w:val="20"/>
        </w:rPr>
        <w:t xml:space="preserve">; </w:t>
      </w:r>
      <w:r w:rsidRPr="009850D3">
        <w:rPr>
          <w:rFonts w:ascii="Century Gothic" w:hAnsi="Century Gothic"/>
          <w:noProof/>
          <w:color w:val="000000"/>
          <w:sz w:val="20"/>
          <w:szCs w:val="20"/>
        </w:rPr>
        <w:t>13% higher than expected for QLD, with 291 more services (2,548 services observed versus 2,257 services expected); 10% lower than expected for VIC/TAS, with 308 fewer services</w:t>
      </w:r>
      <w:r w:rsidRPr="009850D3">
        <w:rPr>
          <w:rFonts w:ascii="Century Gothic" w:hAnsi="Century Gothic"/>
          <w:color w:val="000000"/>
          <w:sz w:val="20"/>
          <w:szCs w:val="20"/>
        </w:rPr>
        <w:t xml:space="preserve"> </w:t>
      </w:r>
      <w:r w:rsidRPr="009850D3">
        <w:rPr>
          <w:rFonts w:ascii="Century Gothic" w:hAnsi="Century Gothic"/>
          <w:noProof/>
          <w:color w:val="000000"/>
          <w:sz w:val="20"/>
          <w:szCs w:val="20"/>
        </w:rPr>
        <w:t>(2,842 services observed versus 3,150 services expected);</w:t>
      </w:r>
      <w:r w:rsidRPr="00E31B41">
        <w:rPr>
          <w:rFonts w:ascii="Century Gothic" w:hAnsi="Century Gothic"/>
          <w:sz w:val="20"/>
          <w:szCs w:val="20"/>
        </w:rPr>
        <w:t xml:space="preserve"> 5</w:t>
      </w:r>
      <w:r w:rsidRPr="009850D3">
        <w:rPr>
          <w:rFonts w:ascii="Century Gothic" w:hAnsi="Century Gothic"/>
          <w:noProof/>
          <w:color w:val="000000"/>
          <w:sz w:val="20"/>
          <w:szCs w:val="20"/>
        </w:rPr>
        <w:t>% lower than expected for WA, with 48 fewer services</w:t>
      </w:r>
      <w:r w:rsidRPr="009850D3">
        <w:rPr>
          <w:rFonts w:ascii="Century Gothic" w:hAnsi="Century Gothic"/>
          <w:color w:val="000000"/>
          <w:sz w:val="20"/>
          <w:szCs w:val="20"/>
        </w:rPr>
        <w:t xml:space="preserve"> </w:t>
      </w:r>
      <w:r w:rsidRPr="009850D3">
        <w:rPr>
          <w:rFonts w:ascii="Century Gothic" w:hAnsi="Century Gothic"/>
          <w:noProof/>
          <w:color w:val="000000"/>
          <w:sz w:val="20"/>
          <w:szCs w:val="20"/>
        </w:rPr>
        <w:t>(978 services observed versus 1,026 services expected)</w:t>
      </w:r>
      <w:r w:rsidRPr="009850D3">
        <w:rPr>
          <w:rFonts w:ascii="Century Gothic" w:hAnsi="Century Gothic"/>
          <w:color w:val="000000"/>
          <w:sz w:val="20"/>
          <w:szCs w:val="20"/>
        </w:rPr>
        <w:t xml:space="preserve">. </w:t>
      </w:r>
      <w:r w:rsidRPr="00E31B41">
        <w:rPr>
          <w:rFonts w:ascii="Century Gothic" w:hAnsi="Century Gothic"/>
          <w:sz w:val="20"/>
          <w:szCs w:val="20"/>
        </w:rPr>
        <w:t xml:space="preserve">The observed number of services was similar to expected for SA/NT (3% higher), with 36 more services </w:t>
      </w:r>
      <w:r w:rsidRPr="009850D3">
        <w:rPr>
          <w:rFonts w:ascii="Century Gothic" w:hAnsi="Century Gothic"/>
          <w:noProof/>
          <w:color w:val="000000"/>
          <w:sz w:val="20"/>
          <w:szCs w:val="20"/>
        </w:rPr>
        <w:t>(1,330 services observed versus 1,294 services expected</w:t>
      </w:r>
      <w:r w:rsidRPr="00E31B41">
        <w:rPr>
          <w:rFonts w:ascii="Century Gothic" w:hAnsi="Century Gothic"/>
          <w:sz w:val="20"/>
          <w:szCs w:val="20"/>
        </w:rPr>
        <w:t xml:space="preserve">) </w:t>
      </w:r>
      <w:r w:rsidR="004F3E26" w:rsidRPr="004F3E26">
        <w:rPr>
          <w:rFonts w:ascii="Century Gothic" w:hAnsi="Century Gothic"/>
          <w:sz w:val="20"/>
          <w:szCs w:val="20"/>
        </w:rPr>
        <w:t>[Table B1; Figure 1</w:t>
      </w:r>
      <w:r w:rsidR="004F3E26">
        <w:rPr>
          <w:rFonts w:ascii="Century Gothic" w:hAnsi="Century Gothic"/>
          <w:sz w:val="20"/>
          <w:szCs w:val="20"/>
        </w:rPr>
        <w:t>.7</w:t>
      </w:r>
      <w:r w:rsidRPr="00E31B41">
        <w:rPr>
          <w:rFonts w:ascii="Century Gothic" w:hAnsi="Century Gothic"/>
          <w:sz w:val="20"/>
          <w:szCs w:val="20"/>
        </w:rPr>
        <w:t>].</w:t>
      </w:r>
      <w:bookmarkEnd w:id="62"/>
    </w:p>
    <w:p w14:paraId="4DDCF680" w14:textId="77777777" w:rsidR="00934991" w:rsidRDefault="009850D3" w:rsidP="009850D3">
      <w:r>
        <w:rPr>
          <w:szCs w:val="20"/>
        </w:rPr>
        <w:t xml:space="preserve">The observed and expected number of diagnostic services related to stomach and pancreatic </w:t>
      </w:r>
      <w:r w:rsidRPr="00D14B60">
        <w:rPr>
          <w:iCs/>
          <w:szCs w:val="20"/>
        </w:rPr>
        <w:t>cancers</w:t>
      </w:r>
      <w:r>
        <w:rPr>
          <w:szCs w:val="20"/>
        </w:rPr>
        <w:t xml:space="preserve"> for 2020 for each state and territory are provided in Appendix </w:t>
      </w:r>
      <w:r w:rsidR="004F3E26">
        <w:rPr>
          <w:szCs w:val="20"/>
        </w:rPr>
        <w:t>Table B1</w:t>
      </w:r>
      <w:r w:rsidRPr="00395B12">
        <w:rPr>
          <w:szCs w:val="20"/>
        </w:rPr>
        <w:t>.</w:t>
      </w:r>
    </w:p>
    <w:p w14:paraId="30E97121" w14:textId="03F6AC0F" w:rsidR="00934991" w:rsidRPr="00202411" w:rsidRDefault="00934991" w:rsidP="00934991">
      <w:pPr>
        <w:pStyle w:val="FigureName"/>
        <w:spacing w:before="480" w:after="200"/>
        <w:ind w:left="1077" w:hanging="1077"/>
      </w:pPr>
      <w:bookmarkStart w:id="63" w:name="_Ref79625172"/>
      <w:bookmarkStart w:id="64" w:name="_Toc83365207"/>
      <w:bookmarkStart w:id="65" w:name="_Toc83720983"/>
      <w:bookmarkStart w:id="66" w:name="_Hlk81140620"/>
      <w:r w:rsidRPr="00202411">
        <w:t>Figure</w:t>
      </w:r>
      <w:bookmarkEnd w:id="63"/>
      <w:r w:rsidR="00914671">
        <w:t xml:space="preserve"> 1.7</w:t>
      </w:r>
      <w:r>
        <w:tab/>
      </w:r>
      <w:r w:rsidRPr="00202411">
        <w:t xml:space="preserve">Annual observed and expected number of services for </w:t>
      </w:r>
      <w:r>
        <w:t>stomach and pancreatic</w:t>
      </w:r>
      <w:r w:rsidRPr="00202411">
        <w:t xml:space="preserve"> cancer</w:t>
      </w:r>
      <w:r>
        <w:t xml:space="preserve">-related diagnostic procedures </w:t>
      </w:r>
      <w:r w:rsidRPr="00202411">
        <w:t>in 2020, by jurisdiction</w:t>
      </w:r>
      <w:bookmarkEnd w:id="64"/>
      <w:bookmarkEnd w:id="65"/>
    </w:p>
    <w:bookmarkEnd w:id="66"/>
    <w:p w14:paraId="06A5D6A9" w14:textId="77777777" w:rsidR="00934991" w:rsidRDefault="00834120" w:rsidP="00934991">
      <w:pPr>
        <w:jc w:val="center"/>
        <w:rPr>
          <w:szCs w:val="20"/>
        </w:rPr>
      </w:pPr>
      <w:r w:rsidRPr="00934991">
        <w:rPr>
          <w:noProof/>
          <w:szCs w:val="20"/>
        </w:rPr>
        <w:drawing>
          <wp:inline distT="0" distB="0" distL="0" distR="0" wp14:anchorId="0DE35181" wp14:editId="36680C35">
            <wp:extent cx="4457700" cy="2819400"/>
            <wp:effectExtent l="0" t="0" r="0" b="0"/>
            <wp:docPr id="8" name="Picture 1" descr="The figure is a column graph depicting the number of diagnostic procedures related to stomach and pancreatic cancer for each jurisdiction in 2020. Two bars are shown for each jurisdiction, one for the number of observed services and one for the number of expected services. The column bar for observed services is lower than the column bar for expected services for jurisdictions including NSW and ACT combined, VIC and TAS combined, and WA. The column bar for observed services is higher than the column bar for expected services for QLD. The observed and expected number of services are considered similar for SA and NT comb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The figure is a column graph depicting the number of diagnostic procedures related to stomach and pancreatic cancer for each jurisdiction in 2020. Two bars are shown for each jurisdiction, one for the number of observed services and one for the number of expected services. The column bar for observed services is lower than the column bar for expected services for jurisdictions including NSW and ACT combined, VIC and TAS combined, and WA. The column bar for observed services is higher than the column bar for expected services for QLD. The observed and expected number of services are considered similar for SA and NT combin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57700" cy="2819400"/>
                    </a:xfrm>
                    <a:prstGeom prst="rect">
                      <a:avLst/>
                    </a:prstGeom>
                    <a:noFill/>
                    <a:ln>
                      <a:noFill/>
                    </a:ln>
                  </pic:spPr>
                </pic:pic>
              </a:graphicData>
            </a:graphic>
          </wp:inline>
        </w:drawing>
      </w:r>
    </w:p>
    <w:p w14:paraId="2328B271" w14:textId="77777777" w:rsidR="00934991" w:rsidRDefault="00934991" w:rsidP="00934991">
      <w:pPr>
        <w:pStyle w:val="Heading2"/>
        <w:tabs>
          <w:tab w:val="clear" w:pos="1572"/>
          <w:tab w:val="num" w:pos="709"/>
        </w:tabs>
        <w:ind w:left="709" w:hanging="709"/>
        <w:rPr>
          <w:kern w:val="32"/>
        </w:rPr>
      </w:pPr>
      <w:bookmarkStart w:id="67" w:name="_Toc84363187"/>
      <w:r>
        <w:lastRenderedPageBreak/>
        <w:t>Uterine cancer</w:t>
      </w:r>
      <w:bookmarkEnd w:id="67"/>
    </w:p>
    <w:p w14:paraId="6B52507F" w14:textId="77777777" w:rsidR="009850D3" w:rsidRPr="0096072B" w:rsidRDefault="009850D3" w:rsidP="00D14B60">
      <w:pPr>
        <w:rPr>
          <w:szCs w:val="20"/>
        </w:rPr>
      </w:pPr>
      <w:bookmarkStart w:id="68" w:name="_Hlk79599701"/>
      <w:r w:rsidRPr="00F863C8">
        <w:rPr>
          <w:szCs w:val="20"/>
        </w:rPr>
        <w:t>The diagnostic procedure</w:t>
      </w:r>
      <w:r>
        <w:rPr>
          <w:szCs w:val="20"/>
        </w:rPr>
        <w:t xml:space="preserve"> examined in these analyses was </w:t>
      </w:r>
      <w:r w:rsidRPr="00F863C8">
        <w:rPr>
          <w:szCs w:val="20"/>
        </w:rPr>
        <w:t>endometrial biops</w:t>
      </w:r>
      <w:r>
        <w:rPr>
          <w:szCs w:val="20"/>
        </w:rPr>
        <w:t>y</w:t>
      </w:r>
      <w:r w:rsidRPr="00F863C8">
        <w:rPr>
          <w:szCs w:val="20"/>
        </w:rPr>
        <w:t xml:space="preserve"> for suspected malignancy. This </w:t>
      </w:r>
      <w:r w:rsidRPr="00D14B60">
        <w:rPr>
          <w:iCs/>
          <w:szCs w:val="20"/>
        </w:rPr>
        <w:t>procedure</w:t>
      </w:r>
      <w:r w:rsidRPr="00F863C8">
        <w:rPr>
          <w:szCs w:val="20"/>
        </w:rPr>
        <w:t xml:space="preserve"> is predominantly used for diagnosis of uterine cancers</w:t>
      </w:r>
      <w:r>
        <w:rPr>
          <w:szCs w:val="20"/>
        </w:rPr>
        <w:t xml:space="preserve">; however, this procedure </w:t>
      </w:r>
      <w:r w:rsidRPr="00F863C8">
        <w:rPr>
          <w:szCs w:val="20"/>
        </w:rPr>
        <w:t xml:space="preserve">may </w:t>
      </w:r>
      <w:r>
        <w:rPr>
          <w:szCs w:val="20"/>
        </w:rPr>
        <w:t xml:space="preserve">also </w:t>
      </w:r>
      <w:r w:rsidRPr="00F863C8">
        <w:rPr>
          <w:szCs w:val="20"/>
        </w:rPr>
        <w:t>be used for diagnosing other gynaecological cancers.</w:t>
      </w:r>
      <w:bookmarkEnd w:id="68"/>
    </w:p>
    <w:p w14:paraId="4FE701DC" w14:textId="43148E7A" w:rsidR="009850D3" w:rsidRPr="00B35156" w:rsidRDefault="009850D3" w:rsidP="00D14B60">
      <w:pPr>
        <w:rPr>
          <w:szCs w:val="20"/>
        </w:rPr>
      </w:pPr>
      <w:r>
        <w:rPr>
          <w:szCs w:val="20"/>
        </w:rPr>
        <w:t xml:space="preserve">In 2020, the </w:t>
      </w:r>
      <w:r w:rsidRPr="00D14B60">
        <w:rPr>
          <w:iCs/>
          <w:szCs w:val="20"/>
        </w:rPr>
        <w:t>observed</w:t>
      </w:r>
      <w:r w:rsidRPr="00B35156">
        <w:rPr>
          <w:szCs w:val="20"/>
        </w:rPr>
        <w:t xml:space="preserve"> number of services nationally for </w:t>
      </w:r>
      <w:r>
        <w:rPr>
          <w:noProof/>
          <w:szCs w:val="20"/>
        </w:rPr>
        <w:t>uterine</w:t>
      </w:r>
      <w:r w:rsidRPr="00B35156">
        <w:rPr>
          <w:noProof/>
          <w:szCs w:val="20"/>
        </w:rPr>
        <w:t xml:space="preserve"> cancer-related diagnostic procedures </w:t>
      </w:r>
      <w:r w:rsidRPr="00B35156">
        <w:rPr>
          <w:szCs w:val="20"/>
        </w:rPr>
        <w:t xml:space="preserve">was </w:t>
      </w:r>
      <w:r w:rsidRPr="00B35156">
        <w:rPr>
          <w:noProof/>
          <w:szCs w:val="20"/>
        </w:rPr>
        <w:t>similar to expected</w:t>
      </w:r>
      <w:r>
        <w:rPr>
          <w:szCs w:val="20"/>
        </w:rPr>
        <w:t>, that is, less than 5% difference</w:t>
      </w:r>
      <w:r w:rsidRPr="00B35156">
        <w:rPr>
          <w:noProof/>
          <w:szCs w:val="20"/>
        </w:rPr>
        <w:t xml:space="preserve"> </w:t>
      </w:r>
      <w:r>
        <w:rPr>
          <w:szCs w:val="20"/>
        </w:rPr>
        <w:t xml:space="preserve">(2% higher, with 144 more services; </w:t>
      </w:r>
      <w:r w:rsidRPr="00B35156">
        <w:rPr>
          <w:noProof/>
          <w:szCs w:val="20"/>
        </w:rPr>
        <w:t>9,348</w:t>
      </w:r>
      <w:r>
        <w:rPr>
          <w:noProof/>
          <w:szCs w:val="20"/>
        </w:rPr>
        <w:t xml:space="preserve"> services observed versus </w:t>
      </w:r>
      <w:r w:rsidRPr="00B35156">
        <w:rPr>
          <w:noProof/>
          <w:szCs w:val="20"/>
        </w:rPr>
        <w:t xml:space="preserve">9,204 </w:t>
      </w:r>
      <w:r>
        <w:rPr>
          <w:noProof/>
          <w:szCs w:val="20"/>
        </w:rPr>
        <w:t xml:space="preserve">services expected) </w:t>
      </w:r>
      <w:r w:rsidR="0044120B">
        <w:rPr>
          <w:szCs w:val="20"/>
        </w:rPr>
        <w:t>[</w:t>
      </w:r>
      <w:r w:rsidR="0044120B" w:rsidRPr="0096072B">
        <w:rPr>
          <w:szCs w:val="20"/>
          <w:highlight w:val="yellow"/>
        </w:rPr>
        <w:fldChar w:fldCharType="begin"/>
      </w:r>
      <w:r w:rsidR="0044120B" w:rsidRPr="0096072B">
        <w:rPr>
          <w:szCs w:val="20"/>
          <w:highlight w:val="yellow"/>
        </w:rPr>
        <w:instrText xml:space="preserve"> REF _Ref79599482 \h </w:instrText>
      </w:r>
      <w:r w:rsidR="0044120B">
        <w:rPr>
          <w:szCs w:val="20"/>
          <w:highlight w:val="yellow"/>
        </w:rPr>
        <w:instrText xml:space="preserve"> \* MERGEFORMAT </w:instrText>
      </w:r>
      <w:r w:rsidR="0044120B" w:rsidRPr="0096072B">
        <w:rPr>
          <w:szCs w:val="20"/>
          <w:highlight w:val="yellow"/>
        </w:rPr>
      </w:r>
      <w:r w:rsidR="0044120B" w:rsidRPr="0096072B">
        <w:rPr>
          <w:szCs w:val="20"/>
          <w:highlight w:val="yellow"/>
        </w:rPr>
        <w:fldChar w:fldCharType="separate"/>
      </w:r>
      <w:r w:rsidR="00533EE6" w:rsidRPr="00533EE6">
        <w:rPr>
          <w:szCs w:val="20"/>
        </w:rPr>
        <w:t>Table 1</w:t>
      </w:r>
      <w:r w:rsidR="0044120B" w:rsidRPr="0096072B">
        <w:rPr>
          <w:szCs w:val="20"/>
          <w:highlight w:val="yellow"/>
        </w:rPr>
        <w:fldChar w:fldCharType="end"/>
      </w:r>
      <w:r w:rsidR="0044120B" w:rsidRPr="0096072B">
        <w:rPr>
          <w:szCs w:val="20"/>
        </w:rPr>
        <w:t>;</w:t>
      </w:r>
      <w:r w:rsidR="0044120B">
        <w:rPr>
          <w:szCs w:val="20"/>
        </w:rPr>
        <w:t xml:space="preserve"> Figure 1]</w:t>
      </w:r>
      <w:r w:rsidR="0044120B" w:rsidRPr="001568D1">
        <w:rPr>
          <w:szCs w:val="20"/>
        </w:rPr>
        <w:t>.</w:t>
      </w:r>
    </w:p>
    <w:p w14:paraId="6C3F3A26" w14:textId="77777777" w:rsidR="009850D3" w:rsidRDefault="009850D3" w:rsidP="00D14B60">
      <w:pPr>
        <w:rPr>
          <w:szCs w:val="20"/>
        </w:rPr>
      </w:pPr>
      <w:r w:rsidRPr="00B35156">
        <w:rPr>
          <w:szCs w:val="20"/>
        </w:rPr>
        <w:t xml:space="preserve">The observed </w:t>
      </w:r>
      <w:r w:rsidRPr="00D14B60">
        <w:rPr>
          <w:iCs/>
          <w:szCs w:val="20"/>
        </w:rPr>
        <w:t>number</w:t>
      </w:r>
      <w:r w:rsidRPr="00B35156">
        <w:rPr>
          <w:szCs w:val="20"/>
        </w:rPr>
        <w:t xml:space="preserve"> of </w:t>
      </w:r>
      <w:r>
        <w:rPr>
          <w:szCs w:val="20"/>
        </w:rPr>
        <w:t>services for 2020</w:t>
      </w:r>
      <w:r w:rsidRPr="00B35156">
        <w:rPr>
          <w:szCs w:val="20"/>
        </w:rPr>
        <w:t xml:space="preserve"> was </w:t>
      </w:r>
      <w:r>
        <w:rPr>
          <w:szCs w:val="20"/>
        </w:rPr>
        <w:t>similar to that</w:t>
      </w:r>
      <w:r w:rsidRPr="00B35156">
        <w:rPr>
          <w:szCs w:val="20"/>
        </w:rPr>
        <w:t xml:space="preserve"> expected</w:t>
      </w:r>
      <w:r>
        <w:rPr>
          <w:szCs w:val="20"/>
        </w:rPr>
        <w:t xml:space="preserve"> for most jurisdictions, except</w:t>
      </w:r>
      <w:r w:rsidRPr="00B35156">
        <w:rPr>
          <w:szCs w:val="20"/>
        </w:rPr>
        <w:t xml:space="preserve"> for </w:t>
      </w:r>
      <w:r>
        <w:rPr>
          <w:szCs w:val="20"/>
        </w:rPr>
        <w:t xml:space="preserve">SA/NT, where the </w:t>
      </w:r>
      <w:r w:rsidRPr="00B35156">
        <w:rPr>
          <w:szCs w:val="20"/>
        </w:rPr>
        <w:t xml:space="preserve">observed number of services </w:t>
      </w:r>
      <w:r>
        <w:rPr>
          <w:szCs w:val="20"/>
        </w:rPr>
        <w:t>was</w:t>
      </w:r>
      <w:r w:rsidRPr="00B35156">
        <w:rPr>
          <w:szCs w:val="20"/>
        </w:rPr>
        <w:t xml:space="preserve"> 11%</w:t>
      </w:r>
      <w:r>
        <w:rPr>
          <w:szCs w:val="20"/>
        </w:rPr>
        <w:t xml:space="preserve"> </w:t>
      </w:r>
      <w:r w:rsidRPr="00B35156">
        <w:rPr>
          <w:szCs w:val="20"/>
        </w:rPr>
        <w:t xml:space="preserve">higher than expected </w:t>
      </w:r>
      <w:r w:rsidR="004F3E26" w:rsidRPr="004F3E26">
        <w:rPr>
          <w:szCs w:val="20"/>
        </w:rPr>
        <w:t>[Table B1; Figure 1</w:t>
      </w:r>
      <w:r w:rsidR="004F3E26">
        <w:rPr>
          <w:szCs w:val="20"/>
        </w:rPr>
        <w:t>.8</w:t>
      </w:r>
      <w:r>
        <w:rPr>
          <w:szCs w:val="20"/>
        </w:rPr>
        <w:t>]</w:t>
      </w:r>
      <w:r w:rsidRPr="00B35156">
        <w:rPr>
          <w:szCs w:val="20"/>
        </w:rPr>
        <w:t>.</w:t>
      </w:r>
      <w:r>
        <w:rPr>
          <w:szCs w:val="20"/>
        </w:rPr>
        <w:t xml:space="preserve"> For each state/territory:</w:t>
      </w:r>
    </w:p>
    <w:p w14:paraId="50A6ACDA" w14:textId="77777777" w:rsidR="009850D3" w:rsidRPr="009850D3" w:rsidRDefault="009850D3" w:rsidP="00D14B60">
      <w:pPr>
        <w:pStyle w:val="ListParagraph"/>
        <w:numPr>
          <w:ilvl w:val="0"/>
          <w:numId w:val="6"/>
        </w:numPr>
        <w:spacing w:line="280" w:lineRule="atLeast"/>
        <w:ind w:left="714" w:hanging="357"/>
        <w:jc w:val="both"/>
        <w:rPr>
          <w:rFonts w:ascii="Century Gothic" w:hAnsi="Century Gothic"/>
          <w:sz w:val="20"/>
          <w:szCs w:val="20"/>
          <w:shd w:val="clear" w:color="auto" w:fill="FFF2CC"/>
        </w:rPr>
      </w:pPr>
      <w:bookmarkStart w:id="69" w:name="_Hlk81476405"/>
      <w:r w:rsidRPr="00E31B41">
        <w:rPr>
          <w:rFonts w:ascii="Century Gothic" w:hAnsi="Century Gothic"/>
          <w:sz w:val="20"/>
          <w:szCs w:val="20"/>
        </w:rPr>
        <w:t xml:space="preserve">The observed number of services was </w:t>
      </w:r>
      <w:r w:rsidRPr="009850D3">
        <w:rPr>
          <w:rFonts w:ascii="Century Gothic" w:hAnsi="Century Gothic"/>
          <w:noProof/>
          <w:color w:val="000000"/>
          <w:sz w:val="20"/>
          <w:szCs w:val="20"/>
        </w:rPr>
        <w:t xml:space="preserve">11% higher than expected for SA/NT, with 64 more services (650 services observed versus 586 services expected). </w:t>
      </w:r>
      <w:r w:rsidRPr="00E31B41">
        <w:rPr>
          <w:rFonts w:ascii="Century Gothic" w:hAnsi="Century Gothic"/>
          <w:sz w:val="20"/>
          <w:szCs w:val="20"/>
        </w:rPr>
        <w:t xml:space="preserve">The observed number of services was similar to expected for VIC/TAS (4% lower), with 86 fewer services </w:t>
      </w:r>
      <w:r w:rsidRPr="009850D3">
        <w:rPr>
          <w:rFonts w:ascii="Century Gothic" w:hAnsi="Century Gothic"/>
          <w:noProof/>
          <w:color w:val="000000"/>
          <w:sz w:val="20"/>
          <w:szCs w:val="20"/>
        </w:rPr>
        <w:t>(2,231 services observed versus 2,317 services expected</w:t>
      </w:r>
      <w:r w:rsidRPr="00E31B41">
        <w:rPr>
          <w:rFonts w:ascii="Century Gothic" w:hAnsi="Century Gothic"/>
          <w:sz w:val="20"/>
          <w:szCs w:val="20"/>
        </w:rPr>
        <w:t>); NSW/ACT (</w:t>
      </w:r>
      <w:r w:rsidRPr="009850D3">
        <w:rPr>
          <w:rFonts w:ascii="Century Gothic" w:hAnsi="Century Gothic"/>
          <w:noProof/>
          <w:color w:val="000000"/>
          <w:sz w:val="20"/>
          <w:szCs w:val="20"/>
        </w:rPr>
        <w:t xml:space="preserve">3% higher), with 74 more services (2,644 services observed versus 2,570 services expected); </w:t>
      </w:r>
      <w:r w:rsidRPr="00E31B41">
        <w:rPr>
          <w:rFonts w:ascii="Century Gothic" w:hAnsi="Century Gothic"/>
          <w:sz w:val="20"/>
          <w:szCs w:val="20"/>
        </w:rPr>
        <w:t xml:space="preserve">QLD (3% higher), with 10 more services </w:t>
      </w:r>
      <w:r w:rsidRPr="009850D3">
        <w:rPr>
          <w:rFonts w:ascii="Century Gothic" w:hAnsi="Century Gothic"/>
          <w:noProof/>
          <w:color w:val="000000"/>
          <w:sz w:val="20"/>
          <w:szCs w:val="20"/>
        </w:rPr>
        <w:t>(260 services observed versus 250 services expected</w:t>
      </w:r>
      <w:r w:rsidRPr="00E31B41">
        <w:rPr>
          <w:rFonts w:ascii="Century Gothic" w:hAnsi="Century Gothic"/>
          <w:sz w:val="20"/>
          <w:szCs w:val="20"/>
        </w:rPr>
        <w:t xml:space="preserve">); and WA (1% higher), with 12 more services </w:t>
      </w:r>
      <w:r w:rsidRPr="009850D3">
        <w:rPr>
          <w:rFonts w:ascii="Century Gothic" w:hAnsi="Century Gothic"/>
          <w:noProof/>
          <w:color w:val="000000"/>
          <w:sz w:val="20"/>
          <w:szCs w:val="20"/>
        </w:rPr>
        <w:t>(1,427 services observed versus 1,415 services expected</w:t>
      </w:r>
      <w:r w:rsidRPr="00E31B41">
        <w:rPr>
          <w:rFonts w:ascii="Century Gothic" w:hAnsi="Century Gothic"/>
          <w:sz w:val="20"/>
          <w:szCs w:val="20"/>
        </w:rPr>
        <w:t xml:space="preserve">) </w:t>
      </w:r>
      <w:r w:rsidR="004F3E26" w:rsidRPr="004F3E26">
        <w:rPr>
          <w:rFonts w:ascii="Century Gothic" w:hAnsi="Century Gothic"/>
          <w:sz w:val="20"/>
          <w:szCs w:val="20"/>
        </w:rPr>
        <w:t>[Table B1; Figure 1</w:t>
      </w:r>
      <w:r w:rsidR="004F3E26">
        <w:rPr>
          <w:rFonts w:ascii="Century Gothic" w:hAnsi="Century Gothic"/>
          <w:sz w:val="20"/>
          <w:szCs w:val="20"/>
        </w:rPr>
        <w:t>.8</w:t>
      </w:r>
      <w:r w:rsidRPr="00E31B41">
        <w:rPr>
          <w:rFonts w:ascii="Century Gothic" w:hAnsi="Century Gothic"/>
          <w:sz w:val="20"/>
          <w:szCs w:val="20"/>
        </w:rPr>
        <w:t>].</w:t>
      </w:r>
      <w:bookmarkEnd w:id="69"/>
    </w:p>
    <w:p w14:paraId="25421A83" w14:textId="77777777" w:rsidR="00934991" w:rsidRDefault="009850D3" w:rsidP="009850D3">
      <w:r>
        <w:rPr>
          <w:szCs w:val="20"/>
        </w:rPr>
        <w:t xml:space="preserve">The observed and expected number of diagnostic services related to uterine cancer for 2020 for each state and </w:t>
      </w:r>
      <w:r w:rsidRPr="00D14B60">
        <w:rPr>
          <w:iCs/>
          <w:szCs w:val="20"/>
        </w:rPr>
        <w:t>territory</w:t>
      </w:r>
      <w:r>
        <w:rPr>
          <w:szCs w:val="20"/>
        </w:rPr>
        <w:t xml:space="preserve"> are provided in Appendix </w:t>
      </w:r>
      <w:r w:rsidR="004F3E26">
        <w:rPr>
          <w:szCs w:val="20"/>
        </w:rPr>
        <w:t>Table B1</w:t>
      </w:r>
      <w:r w:rsidRPr="00395B12">
        <w:rPr>
          <w:szCs w:val="20"/>
        </w:rPr>
        <w:t>.</w:t>
      </w:r>
    </w:p>
    <w:p w14:paraId="73FFDBF8" w14:textId="2A883648" w:rsidR="00934991" w:rsidRDefault="00934991" w:rsidP="00934991">
      <w:pPr>
        <w:pStyle w:val="FigureName"/>
        <w:spacing w:before="480" w:after="200"/>
        <w:ind w:left="1077" w:hanging="1077"/>
      </w:pPr>
      <w:bookmarkStart w:id="70" w:name="_Ref79625324"/>
      <w:bookmarkStart w:id="71" w:name="_Toc83365208"/>
      <w:bookmarkStart w:id="72" w:name="_Toc83720984"/>
      <w:r>
        <w:t>Figure</w:t>
      </w:r>
      <w:bookmarkEnd w:id="70"/>
      <w:r w:rsidR="00914671">
        <w:t xml:space="preserve"> 1.8</w:t>
      </w:r>
      <w:r>
        <w:tab/>
      </w:r>
      <w:r w:rsidRPr="00E849D0">
        <w:t xml:space="preserve">Annual observed and expected number of services for </w:t>
      </w:r>
      <w:r>
        <w:t>uterine</w:t>
      </w:r>
      <w:r w:rsidRPr="00E849D0">
        <w:t xml:space="preserve"> cancer-related diagnostic procedures in 2020, by jurisdiction</w:t>
      </w:r>
      <w:bookmarkEnd w:id="71"/>
      <w:bookmarkEnd w:id="72"/>
    </w:p>
    <w:p w14:paraId="39A6A4C4" w14:textId="77777777" w:rsidR="00934991" w:rsidRDefault="00834120" w:rsidP="00934991">
      <w:pPr>
        <w:jc w:val="center"/>
      </w:pPr>
      <w:r w:rsidRPr="00934991">
        <w:rPr>
          <w:noProof/>
          <w:szCs w:val="20"/>
        </w:rPr>
        <w:drawing>
          <wp:inline distT="0" distB="0" distL="0" distR="0" wp14:anchorId="6281A1C4" wp14:editId="548EDE9C">
            <wp:extent cx="4457700" cy="2819400"/>
            <wp:effectExtent l="0" t="0" r="0" b="0"/>
            <wp:docPr id="9" name="Picture 1" descr="The figure is a column graph depicting the number of diagnostic procedures related to uterine cancer for each jurisdiction in 2020. Two bars are shown for each jurisdiction, one for the number of observed services and one for the number of expected services. The column bar for observed services is higher than the column bar for expected services for SA and NT combined. The observed and expected number of services are considered similar for jurisdictions including NSW and ACT combined, VIC and TAS combined, QLD and 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The figure is a column graph depicting the number of diagnostic procedures related to uterine cancer for each jurisdiction in 2020. Two bars are shown for each jurisdiction, one for the number of observed services and one for the number of expected services. The column bar for observed services is higher than the column bar for expected services for SA and NT combined. The observed and expected number of services are considered similar for jurisdictions including NSW and ACT combined, VIC and TAS combined, QLD and W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57700" cy="2819400"/>
                    </a:xfrm>
                    <a:prstGeom prst="rect">
                      <a:avLst/>
                    </a:prstGeom>
                    <a:noFill/>
                    <a:ln>
                      <a:noFill/>
                    </a:ln>
                  </pic:spPr>
                </pic:pic>
              </a:graphicData>
            </a:graphic>
          </wp:inline>
        </w:drawing>
      </w:r>
    </w:p>
    <w:p w14:paraId="490BCDCB" w14:textId="77777777" w:rsidR="00AD245A" w:rsidRDefault="00AD245A" w:rsidP="00AD245A"/>
    <w:p w14:paraId="64E2AF5F" w14:textId="77777777" w:rsidR="00BB091E" w:rsidRDefault="00BB091E" w:rsidP="00BB091E"/>
    <w:p w14:paraId="676ECC6A" w14:textId="77777777" w:rsidR="00D16A9B" w:rsidRDefault="00D16A9B" w:rsidP="00E01CBB"/>
    <w:p w14:paraId="20A4F6D8" w14:textId="77777777" w:rsidR="00D16A9B" w:rsidRDefault="00742820">
      <w:pPr>
        <w:pStyle w:val="Heading1"/>
      </w:pPr>
      <w:bookmarkStart w:id="73" w:name="_Toc84363188"/>
      <w:r w:rsidRPr="00742820">
        <w:lastRenderedPageBreak/>
        <w:t>Surgical and non-surgical therapeutic procedures</w:t>
      </w:r>
      <w:bookmarkEnd w:id="73"/>
    </w:p>
    <w:p w14:paraId="739E8B5E" w14:textId="77777777" w:rsidR="00357E3F" w:rsidRDefault="00742820" w:rsidP="00357E3F">
      <w:bookmarkStart w:id="74" w:name="_Toc227554729"/>
      <w:r w:rsidRPr="00742820">
        <w:t>The observed number of services for the selected surgical and non-surgical therapeutic procedures  in 2020 for all cancer types examined was 9% lower than the expected number of services based on analysis of data over the period 2017−2019 (Table 2, below).</w:t>
      </w:r>
    </w:p>
    <w:p w14:paraId="24557941" w14:textId="0882C3A2" w:rsidR="00742820" w:rsidRDefault="00742820" w:rsidP="00742820">
      <w:pPr>
        <w:pStyle w:val="TableName"/>
      </w:pPr>
      <w:bookmarkStart w:id="75" w:name="_Ref79624062"/>
      <w:bookmarkStart w:id="76" w:name="_Ref79624066"/>
      <w:bookmarkStart w:id="77" w:name="_Toc81991497"/>
      <w:bookmarkStart w:id="78" w:name="_Toc83720971"/>
      <w:bookmarkStart w:id="79" w:name="_Hlk84940649"/>
      <w:r>
        <w:t xml:space="preserve">Table </w:t>
      </w:r>
      <w:fldSimple w:instr=" SEQ Table \* ARABIC ">
        <w:r w:rsidR="00533EE6">
          <w:rPr>
            <w:noProof/>
          </w:rPr>
          <w:t>2</w:t>
        </w:r>
      </w:fldSimple>
      <w:bookmarkEnd w:id="75"/>
      <w:r>
        <w:tab/>
      </w:r>
      <w:r w:rsidRPr="004969DC">
        <w:t xml:space="preserve">Annual observed and expected services for cancer-related </w:t>
      </w:r>
      <w:bookmarkStart w:id="80" w:name="_Hlk79860701"/>
      <w:r>
        <w:t>therapeutic procedures</w:t>
      </w:r>
      <w:r w:rsidRPr="004969DC">
        <w:t xml:space="preserve"> </w:t>
      </w:r>
      <w:bookmarkEnd w:id="80"/>
      <w:r w:rsidRPr="004969DC">
        <w:t>in 2020, by cancer type</w:t>
      </w:r>
      <w:bookmarkEnd w:id="76"/>
      <w:bookmarkEnd w:id="77"/>
      <w:bookmarkEnd w:id="78"/>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511"/>
        <w:gridCol w:w="1108"/>
        <w:gridCol w:w="1184"/>
        <w:gridCol w:w="1065"/>
        <w:gridCol w:w="1109"/>
        <w:gridCol w:w="1232"/>
      </w:tblGrid>
      <w:tr w:rsidR="00742820" w:rsidRPr="003B0E42" w14:paraId="4C7CE485" w14:textId="77777777" w:rsidTr="00D73C0D">
        <w:trPr>
          <w:trHeight w:val="375"/>
        </w:trPr>
        <w:tc>
          <w:tcPr>
            <w:tcW w:w="3547" w:type="dxa"/>
            <w:vMerge w:val="restart"/>
            <w:shd w:val="clear" w:color="auto" w:fill="808080"/>
            <w:tcMar>
              <w:top w:w="10" w:type="dxa"/>
              <w:left w:w="10" w:type="dxa"/>
              <w:bottom w:w="0" w:type="dxa"/>
              <w:right w:w="10" w:type="dxa"/>
            </w:tcMar>
            <w:vAlign w:val="center"/>
            <w:hideMark/>
          </w:tcPr>
          <w:p w14:paraId="7E197FDC" w14:textId="77777777" w:rsidR="00742820" w:rsidRPr="003B0E42" w:rsidRDefault="00742820" w:rsidP="003458B1">
            <w:pPr>
              <w:spacing w:after="0" w:line="240" w:lineRule="auto"/>
              <w:textAlignment w:val="center"/>
              <w:rPr>
                <w:rFonts w:ascii="Arial" w:hAnsi="Arial" w:cs="Arial"/>
                <w:sz w:val="36"/>
                <w:szCs w:val="36"/>
                <w:lang w:eastAsia="en-AU"/>
              </w:rPr>
            </w:pPr>
            <w:r w:rsidRPr="003B0E42">
              <w:rPr>
                <w:rFonts w:cs="Arial"/>
                <w:b/>
                <w:bCs/>
                <w:color w:val="FFFFFF"/>
                <w:kern w:val="24"/>
                <w:sz w:val="18"/>
                <w:szCs w:val="18"/>
                <w:lang w:eastAsia="en-AU"/>
              </w:rPr>
              <w:t>Cancer type</w:t>
            </w:r>
          </w:p>
        </w:tc>
        <w:tc>
          <w:tcPr>
            <w:tcW w:w="1112" w:type="dxa"/>
            <w:vMerge w:val="restart"/>
            <w:shd w:val="clear" w:color="auto" w:fill="808080"/>
            <w:tcMar>
              <w:top w:w="10" w:type="dxa"/>
              <w:left w:w="10" w:type="dxa"/>
              <w:bottom w:w="0" w:type="dxa"/>
              <w:right w:w="10" w:type="dxa"/>
            </w:tcMar>
            <w:vAlign w:val="center"/>
            <w:hideMark/>
          </w:tcPr>
          <w:p w14:paraId="334B258A" w14:textId="77777777" w:rsidR="00742820" w:rsidRPr="003B0E42" w:rsidRDefault="00742820" w:rsidP="003458B1">
            <w:pPr>
              <w:spacing w:after="0" w:line="240" w:lineRule="auto"/>
              <w:jc w:val="center"/>
              <w:rPr>
                <w:rFonts w:ascii="Arial" w:hAnsi="Arial" w:cs="Arial"/>
                <w:sz w:val="36"/>
                <w:szCs w:val="36"/>
                <w:lang w:eastAsia="en-AU"/>
              </w:rPr>
            </w:pPr>
            <w:r w:rsidRPr="003B0E42">
              <w:rPr>
                <w:rFonts w:cs="Arial"/>
                <w:b/>
                <w:bCs/>
                <w:color w:val="FFFFFF"/>
                <w:kern w:val="24"/>
                <w:sz w:val="18"/>
                <w:szCs w:val="18"/>
                <w:lang w:eastAsia="en-AU"/>
              </w:rPr>
              <w:t>Observed</w:t>
            </w:r>
          </w:p>
        </w:tc>
        <w:tc>
          <w:tcPr>
            <w:tcW w:w="1120" w:type="dxa"/>
            <w:vMerge w:val="restart"/>
            <w:shd w:val="clear" w:color="auto" w:fill="808080"/>
            <w:tcMar>
              <w:top w:w="10" w:type="dxa"/>
              <w:left w:w="10" w:type="dxa"/>
              <w:bottom w:w="0" w:type="dxa"/>
              <w:right w:w="10" w:type="dxa"/>
            </w:tcMar>
            <w:vAlign w:val="center"/>
            <w:hideMark/>
          </w:tcPr>
          <w:p w14:paraId="64EBFA78" w14:textId="77777777" w:rsidR="00742820" w:rsidRPr="003B0E42" w:rsidRDefault="00742820" w:rsidP="003458B1">
            <w:pPr>
              <w:spacing w:after="0" w:line="240" w:lineRule="auto"/>
              <w:jc w:val="center"/>
              <w:rPr>
                <w:rFonts w:ascii="Arial" w:hAnsi="Arial" w:cs="Arial"/>
                <w:sz w:val="36"/>
                <w:szCs w:val="36"/>
                <w:lang w:eastAsia="en-AU"/>
              </w:rPr>
            </w:pPr>
            <w:r w:rsidRPr="003B0E42">
              <w:rPr>
                <w:rFonts w:cs="Arial"/>
                <w:b/>
                <w:bCs/>
                <w:color w:val="FFFFFF"/>
                <w:kern w:val="24"/>
                <w:sz w:val="18"/>
                <w:szCs w:val="18"/>
                <w:lang w:eastAsia="en-AU"/>
              </w:rPr>
              <w:t>Expected</w:t>
            </w:r>
            <w:r w:rsidRPr="00742820">
              <w:rPr>
                <w:rStyle w:val="FootnoteReference"/>
                <w:rFonts w:cs="Calibri"/>
                <w:bCs/>
                <w:color w:val="FFFFFF"/>
                <w:sz w:val="18"/>
                <w:szCs w:val="18"/>
                <w:lang w:eastAsia="en-AU"/>
              </w:rPr>
              <w:footnoteReference w:id="20"/>
            </w:r>
          </w:p>
        </w:tc>
        <w:tc>
          <w:tcPr>
            <w:tcW w:w="1076" w:type="dxa"/>
            <w:vMerge w:val="restart"/>
            <w:shd w:val="clear" w:color="auto" w:fill="808080"/>
            <w:tcMar>
              <w:top w:w="10" w:type="dxa"/>
              <w:left w:w="10" w:type="dxa"/>
              <w:bottom w:w="0" w:type="dxa"/>
              <w:right w:w="10" w:type="dxa"/>
            </w:tcMar>
            <w:vAlign w:val="center"/>
            <w:hideMark/>
          </w:tcPr>
          <w:p w14:paraId="4BF4B78B" w14:textId="77777777" w:rsidR="00742820" w:rsidRPr="003B0E42" w:rsidRDefault="00742820" w:rsidP="003458B1">
            <w:pPr>
              <w:spacing w:after="0" w:line="240" w:lineRule="auto"/>
              <w:jc w:val="center"/>
              <w:rPr>
                <w:rFonts w:ascii="Arial" w:hAnsi="Arial" w:cs="Arial"/>
                <w:sz w:val="36"/>
                <w:szCs w:val="36"/>
                <w:lang w:eastAsia="en-AU"/>
              </w:rPr>
            </w:pPr>
            <w:r w:rsidRPr="003B0E42">
              <w:rPr>
                <w:rFonts w:cs="Arial"/>
                <w:b/>
                <w:bCs/>
                <w:color w:val="FFFFFF"/>
                <w:kern w:val="24"/>
                <w:sz w:val="18"/>
                <w:szCs w:val="18"/>
                <w:lang w:eastAsia="en-AU"/>
              </w:rPr>
              <w:t>O/E Ratio</w:t>
            </w:r>
          </w:p>
        </w:tc>
        <w:tc>
          <w:tcPr>
            <w:tcW w:w="2354" w:type="dxa"/>
            <w:gridSpan w:val="2"/>
            <w:shd w:val="clear" w:color="auto" w:fill="808080"/>
            <w:tcMar>
              <w:top w:w="10" w:type="dxa"/>
              <w:left w:w="10" w:type="dxa"/>
              <w:bottom w:w="0" w:type="dxa"/>
              <w:right w:w="10" w:type="dxa"/>
            </w:tcMar>
            <w:vAlign w:val="center"/>
            <w:hideMark/>
          </w:tcPr>
          <w:p w14:paraId="06322332" w14:textId="77777777" w:rsidR="00742820" w:rsidRPr="003B0E42" w:rsidRDefault="00742820" w:rsidP="003458B1">
            <w:pPr>
              <w:spacing w:after="0" w:line="240" w:lineRule="auto"/>
              <w:jc w:val="center"/>
              <w:rPr>
                <w:rFonts w:cs="Arial"/>
                <w:b/>
                <w:bCs/>
                <w:color w:val="FFFFFF"/>
                <w:kern w:val="24"/>
                <w:sz w:val="18"/>
                <w:szCs w:val="18"/>
                <w:lang w:eastAsia="en-AU"/>
              </w:rPr>
            </w:pPr>
            <w:r w:rsidRPr="003B0E42">
              <w:rPr>
                <w:rFonts w:cs="Arial"/>
                <w:b/>
                <w:bCs/>
                <w:color w:val="FFFFFF"/>
                <w:kern w:val="24"/>
                <w:sz w:val="18"/>
                <w:szCs w:val="18"/>
                <w:lang w:eastAsia="en-AU"/>
              </w:rPr>
              <w:t>Difference</w:t>
            </w:r>
          </w:p>
        </w:tc>
      </w:tr>
      <w:tr w:rsidR="00742820" w:rsidRPr="003B0E42" w14:paraId="2EDD66D4" w14:textId="77777777" w:rsidTr="00D73C0D">
        <w:trPr>
          <w:trHeight w:val="375"/>
        </w:trPr>
        <w:tc>
          <w:tcPr>
            <w:tcW w:w="3547" w:type="dxa"/>
            <w:vMerge/>
            <w:shd w:val="clear" w:color="auto" w:fill="808080"/>
            <w:tcMar>
              <w:top w:w="10" w:type="dxa"/>
              <w:left w:w="10" w:type="dxa"/>
              <w:bottom w:w="0" w:type="dxa"/>
              <w:right w:w="10" w:type="dxa"/>
            </w:tcMar>
            <w:vAlign w:val="center"/>
          </w:tcPr>
          <w:p w14:paraId="6E57945C" w14:textId="77777777" w:rsidR="00742820" w:rsidRPr="003B0E42" w:rsidRDefault="00742820" w:rsidP="003458B1">
            <w:pPr>
              <w:spacing w:after="0" w:line="240" w:lineRule="auto"/>
              <w:textAlignment w:val="center"/>
              <w:rPr>
                <w:rFonts w:cs="Arial"/>
                <w:b/>
                <w:bCs/>
                <w:color w:val="FFFFFF"/>
                <w:kern w:val="24"/>
                <w:sz w:val="18"/>
                <w:szCs w:val="18"/>
                <w:lang w:eastAsia="en-AU"/>
              </w:rPr>
            </w:pPr>
          </w:p>
        </w:tc>
        <w:tc>
          <w:tcPr>
            <w:tcW w:w="1112" w:type="dxa"/>
            <w:vMerge/>
            <w:shd w:val="clear" w:color="auto" w:fill="808080"/>
            <w:tcMar>
              <w:top w:w="10" w:type="dxa"/>
              <w:left w:w="10" w:type="dxa"/>
              <w:bottom w:w="0" w:type="dxa"/>
              <w:right w:w="10" w:type="dxa"/>
            </w:tcMar>
            <w:vAlign w:val="center"/>
          </w:tcPr>
          <w:p w14:paraId="30E389A7" w14:textId="77777777" w:rsidR="00742820" w:rsidRPr="003B0E42" w:rsidRDefault="00742820" w:rsidP="003458B1">
            <w:pPr>
              <w:spacing w:after="0" w:line="240" w:lineRule="auto"/>
              <w:rPr>
                <w:rFonts w:cs="Arial"/>
                <w:b/>
                <w:bCs/>
                <w:color w:val="FFFFFF"/>
                <w:kern w:val="24"/>
                <w:sz w:val="18"/>
                <w:szCs w:val="18"/>
                <w:lang w:eastAsia="en-AU"/>
              </w:rPr>
            </w:pPr>
          </w:p>
        </w:tc>
        <w:tc>
          <w:tcPr>
            <w:tcW w:w="1120" w:type="dxa"/>
            <w:vMerge/>
            <w:shd w:val="clear" w:color="auto" w:fill="808080"/>
            <w:tcMar>
              <w:top w:w="10" w:type="dxa"/>
              <w:left w:w="10" w:type="dxa"/>
              <w:bottom w:w="0" w:type="dxa"/>
              <w:right w:w="10" w:type="dxa"/>
            </w:tcMar>
            <w:vAlign w:val="center"/>
          </w:tcPr>
          <w:p w14:paraId="2424ABCE" w14:textId="77777777" w:rsidR="00742820" w:rsidRPr="003B0E42" w:rsidRDefault="00742820" w:rsidP="003458B1">
            <w:pPr>
              <w:spacing w:after="0" w:line="240" w:lineRule="auto"/>
              <w:rPr>
                <w:rFonts w:cs="Arial"/>
                <w:b/>
                <w:bCs/>
                <w:color w:val="FFFFFF"/>
                <w:kern w:val="24"/>
                <w:sz w:val="18"/>
                <w:szCs w:val="18"/>
                <w:lang w:eastAsia="en-AU"/>
              </w:rPr>
            </w:pPr>
          </w:p>
        </w:tc>
        <w:tc>
          <w:tcPr>
            <w:tcW w:w="1076" w:type="dxa"/>
            <w:vMerge/>
            <w:shd w:val="clear" w:color="auto" w:fill="808080"/>
            <w:tcMar>
              <w:top w:w="10" w:type="dxa"/>
              <w:left w:w="10" w:type="dxa"/>
              <w:bottom w:w="0" w:type="dxa"/>
              <w:right w:w="10" w:type="dxa"/>
            </w:tcMar>
            <w:vAlign w:val="center"/>
          </w:tcPr>
          <w:p w14:paraId="2DDFB309" w14:textId="77777777" w:rsidR="00742820" w:rsidRPr="003B0E42" w:rsidRDefault="00742820" w:rsidP="003458B1">
            <w:pPr>
              <w:spacing w:after="0" w:line="240" w:lineRule="auto"/>
              <w:rPr>
                <w:rFonts w:cs="Arial"/>
                <w:b/>
                <w:bCs/>
                <w:color w:val="FFFFFF"/>
                <w:kern w:val="24"/>
                <w:sz w:val="18"/>
                <w:szCs w:val="18"/>
                <w:lang w:eastAsia="en-AU"/>
              </w:rPr>
            </w:pPr>
          </w:p>
        </w:tc>
        <w:tc>
          <w:tcPr>
            <w:tcW w:w="1116" w:type="dxa"/>
            <w:shd w:val="clear" w:color="auto" w:fill="808080"/>
            <w:tcMar>
              <w:top w:w="10" w:type="dxa"/>
              <w:left w:w="10" w:type="dxa"/>
              <w:bottom w:w="0" w:type="dxa"/>
              <w:right w:w="10" w:type="dxa"/>
            </w:tcMar>
            <w:vAlign w:val="center"/>
          </w:tcPr>
          <w:p w14:paraId="79E438C2" w14:textId="77777777" w:rsidR="00742820" w:rsidRPr="003B0E42" w:rsidRDefault="00742820" w:rsidP="003458B1">
            <w:pPr>
              <w:spacing w:after="0" w:line="240" w:lineRule="auto"/>
              <w:jc w:val="center"/>
              <w:rPr>
                <w:rFonts w:cs="Arial"/>
                <w:b/>
                <w:bCs/>
                <w:color w:val="FFFFFF"/>
                <w:kern w:val="24"/>
                <w:sz w:val="18"/>
                <w:szCs w:val="18"/>
                <w:lang w:eastAsia="en-AU"/>
              </w:rPr>
            </w:pPr>
            <w:r>
              <w:rPr>
                <w:rFonts w:cs="Arial"/>
                <w:b/>
                <w:bCs/>
                <w:color w:val="FFFFFF"/>
                <w:kern w:val="24"/>
                <w:sz w:val="18"/>
                <w:szCs w:val="18"/>
                <w:lang w:eastAsia="en-AU"/>
              </w:rPr>
              <w:t>Number of services</w:t>
            </w:r>
          </w:p>
        </w:tc>
        <w:tc>
          <w:tcPr>
            <w:tcW w:w="1238" w:type="dxa"/>
            <w:shd w:val="clear" w:color="auto" w:fill="808080"/>
            <w:vAlign w:val="center"/>
          </w:tcPr>
          <w:p w14:paraId="4362582C" w14:textId="77777777" w:rsidR="00742820" w:rsidRPr="003B0E42" w:rsidRDefault="00742820" w:rsidP="003458B1">
            <w:pPr>
              <w:spacing w:after="0" w:line="240" w:lineRule="auto"/>
              <w:jc w:val="center"/>
              <w:rPr>
                <w:rFonts w:cs="Arial"/>
                <w:b/>
                <w:bCs/>
                <w:color w:val="FFFFFF"/>
                <w:kern w:val="24"/>
                <w:sz w:val="18"/>
                <w:szCs w:val="18"/>
                <w:lang w:eastAsia="en-AU"/>
              </w:rPr>
            </w:pPr>
            <w:r>
              <w:rPr>
                <w:rFonts w:cs="Arial"/>
                <w:b/>
                <w:bCs/>
                <w:color w:val="FFFFFF"/>
                <w:kern w:val="24"/>
                <w:sz w:val="18"/>
                <w:szCs w:val="18"/>
                <w:lang w:eastAsia="en-AU"/>
              </w:rPr>
              <w:t>% difference</w:t>
            </w:r>
          </w:p>
        </w:tc>
      </w:tr>
      <w:tr w:rsidR="00742820" w:rsidRPr="003B0E42" w14:paraId="09BC1B71" w14:textId="77777777" w:rsidTr="00D73C0D">
        <w:trPr>
          <w:trHeight w:val="290"/>
        </w:trPr>
        <w:tc>
          <w:tcPr>
            <w:tcW w:w="3547" w:type="dxa"/>
            <w:shd w:val="clear" w:color="auto" w:fill="auto"/>
            <w:tcMar>
              <w:top w:w="10" w:type="dxa"/>
              <w:left w:w="10" w:type="dxa"/>
              <w:bottom w:w="0" w:type="dxa"/>
              <w:right w:w="10" w:type="dxa"/>
            </w:tcMar>
            <w:vAlign w:val="center"/>
            <w:hideMark/>
          </w:tcPr>
          <w:p w14:paraId="7EBE9A7E" w14:textId="77777777" w:rsidR="00742820" w:rsidRPr="003B0E42" w:rsidRDefault="00742820" w:rsidP="003458B1">
            <w:pPr>
              <w:spacing w:after="0" w:line="240" w:lineRule="auto"/>
              <w:textAlignment w:val="center"/>
              <w:rPr>
                <w:rFonts w:ascii="Arial" w:hAnsi="Arial" w:cs="Arial"/>
                <w:sz w:val="36"/>
                <w:szCs w:val="36"/>
                <w:lang w:eastAsia="en-AU"/>
              </w:rPr>
            </w:pPr>
            <w:r w:rsidRPr="003B0E42">
              <w:rPr>
                <w:rFonts w:cs="Arial"/>
                <w:kern w:val="24"/>
                <w:sz w:val="18"/>
                <w:szCs w:val="18"/>
                <w:lang w:eastAsia="en-AU"/>
              </w:rPr>
              <w:t>Breast cancer</w:t>
            </w:r>
          </w:p>
        </w:tc>
        <w:tc>
          <w:tcPr>
            <w:tcW w:w="1112" w:type="dxa"/>
            <w:shd w:val="clear" w:color="auto" w:fill="auto"/>
            <w:tcMar>
              <w:top w:w="10" w:type="dxa"/>
              <w:left w:w="10" w:type="dxa"/>
              <w:bottom w:w="0" w:type="dxa"/>
              <w:right w:w="10" w:type="dxa"/>
            </w:tcMar>
            <w:vAlign w:val="center"/>
            <w:hideMark/>
          </w:tcPr>
          <w:p w14:paraId="7139DEEA" w14:textId="77777777" w:rsidR="00742820" w:rsidRPr="003B0E42" w:rsidRDefault="00742820" w:rsidP="003458B1">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15,865</w:t>
            </w:r>
          </w:p>
        </w:tc>
        <w:tc>
          <w:tcPr>
            <w:tcW w:w="1120" w:type="dxa"/>
            <w:shd w:val="clear" w:color="auto" w:fill="auto"/>
            <w:tcMar>
              <w:top w:w="10" w:type="dxa"/>
              <w:left w:w="10" w:type="dxa"/>
              <w:bottom w:w="0" w:type="dxa"/>
              <w:right w:w="10" w:type="dxa"/>
            </w:tcMar>
            <w:vAlign w:val="center"/>
            <w:hideMark/>
          </w:tcPr>
          <w:p w14:paraId="54299CAF" w14:textId="77777777" w:rsidR="00742820" w:rsidRPr="003B0E42" w:rsidRDefault="00742820" w:rsidP="003458B1">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16,86</w:t>
            </w:r>
            <w:r>
              <w:rPr>
                <w:rFonts w:cs="Arial"/>
                <w:kern w:val="24"/>
                <w:sz w:val="18"/>
                <w:szCs w:val="18"/>
                <w:lang w:eastAsia="en-AU"/>
              </w:rPr>
              <w:t>6</w:t>
            </w:r>
          </w:p>
        </w:tc>
        <w:tc>
          <w:tcPr>
            <w:tcW w:w="1076" w:type="dxa"/>
            <w:shd w:val="clear" w:color="auto" w:fill="auto"/>
            <w:tcMar>
              <w:top w:w="10" w:type="dxa"/>
              <w:left w:w="10" w:type="dxa"/>
              <w:bottom w:w="0" w:type="dxa"/>
              <w:right w:w="10" w:type="dxa"/>
            </w:tcMar>
            <w:vAlign w:val="center"/>
            <w:hideMark/>
          </w:tcPr>
          <w:p w14:paraId="5B6CD225" w14:textId="77777777" w:rsidR="00742820" w:rsidRPr="003B0E42" w:rsidRDefault="00742820" w:rsidP="003458B1">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0.94</w:t>
            </w:r>
          </w:p>
        </w:tc>
        <w:tc>
          <w:tcPr>
            <w:tcW w:w="1116" w:type="dxa"/>
            <w:shd w:val="clear" w:color="auto" w:fill="auto"/>
            <w:tcMar>
              <w:top w:w="10" w:type="dxa"/>
              <w:left w:w="10" w:type="dxa"/>
              <w:bottom w:w="0" w:type="dxa"/>
              <w:right w:w="10" w:type="dxa"/>
            </w:tcMar>
            <w:vAlign w:val="center"/>
            <w:hideMark/>
          </w:tcPr>
          <w:p w14:paraId="78C6B6D8" w14:textId="77777777" w:rsidR="00742820" w:rsidRPr="003B0E42" w:rsidRDefault="00742820" w:rsidP="003458B1">
            <w:pPr>
              <w:spacing w:after="0" w:line="240" w:lineRule="auto"/>
              <w:jc w:val="right"/>
              <w:textAlignment w:val="center"/>
              <w:rPr>
                <w:rFonts w:ascii="Arial" w:hAnsi="Arial" w:cs="Arial"/>
                <w:sz w:val="36"/>
                <w:szCs w:val="36"/>
                <w:lang w:eastAsia="en-AU"/>
              </w:rPr>
            </w:pPr>
            <w:r w:rsidRPr="003B0E42">
              <w:rPr>
                <w:rFonts w:cs="Arial"/>
                <w:kern w:val="24"/>
                <w:sz w:val="18"/>
                <w:szCs w:val="18"/>
                <w:lang w:eastAsia="en-AU"/>
              </w:rPr>
              <w:t>- 1,00</w:t>
            </w:r>
            <w:r>
              <w:rPr>
                <w:rFonts w:cs="Arial"/>
                <w:kern w:val="24"/>
                <w:sz w:val="18"/>
                <w:szCs w:val="18"/>
                <w:lang w:eastAsia="en-AU"/>
              </w:rPr>
              <w:t>1</w:t>
            </w:r>
            <w:r w:rsidRPr="003B0E42">
              <w:rPr>
                <w:rFonts w:cs="Arial"/>
                <w:kern w:val="24"/>
                <w:sz w:val="18"/>
                <w:szCs w:val="18"/>
                <w:lang w:eastAsia="en-AU"/>
              </w:rPr>
              <w:t xml:space="preserve"> </w:t>
            </w:r>
          </w:p>
        </w:tc>
        <w:tc>
          <w:tcPr>
            <w:tcW w:w="1238" w:type="dxa"/>
          </w:tcPr>
          <w:p w14:paraId="7A6181C3" w14:textId="77777777" w:rsidR="00742820" w:rsidRPr="003B0E42" w:rsidRDefault="00742820" w:rsidP="003458B1">
            <w:pPr>
              <w:spacing w:after="0" w:line="240" w:lineRule="auto"/>
              <w:jc w:val="right"/>
              <w:textAlignment w:val="center"/>
              <w:rPr>
                <w:rFonts w:cs="Arial"/>
                <w:kern w:val="24"/>
                <w:sz w:val="18"/>
                <w:szCs w:val="18"/>
                <w:lang w:eastAsia="en-AU"/>
              </w:rPr>
            </w:pPr>
            <w:r>
              <w:rPr>
                <w:rFonts w:cs="Arial"/>
                <w:kern w:val="24"/>
                <w:sz w:val="18"/>
                <w:szCs w:val="18"/>
                <w:lang w:eastAsia="en-AU"/>
              </w:rPr>
              <w:t>- 6%</w:t>
            </w:r>
          </w:p>
        </w:tc>
      </w:tr>
      <w:tr w:rsidR="00742820" w:rsidRPr="003B0E42" w14:paraId="149B3C3A" w14:textId="77777777" w:rsidTr="00D73C0D">
        <w:trPr>
          <w:trHeight w:val="290"/>
        </w:trPr>
        <w:tc>
          <w:tcPr>
            <w:tcW w:w="3547" w:type="dxa"/>
            <w:shd w:val="clear" w:color="auto" w:fill="auto"/>
            <w:tcMar>
              <w:top w:w="10" w:type="dxa"/>
              <w:left w:w="10" w:type="dxa"/>
              <w:bottom w:w="0" w:type="dxa"/>
              <w:right w:w="10" w:type="dxa"/>
            </w:tcMar>
            <w:vAlign w:val="center"/>
            <w:hideMark/>
          </w:tcPr>
          <w:p w14:paraId="10756C6F" w14:textId="77777777" w:rsidR="00742820" w:rsidRPr="003B0E42" w:rsidRDefault="00742820" w:rsidP="003458B1">
            <w:pPr>
              <w:spacing w:after="0" w:line="240" w:lineRule="auto"/>
              <w:textAlignment w:val="center"/>
              <w:rPr>
                <w:rFonts w:ascii="Arial" w:hAnsi="Arial" w:cs="Arial"/>
                <w:sz w:val="36"/>
                <w:szCs w:val="36"/>
                <w:lang w:eastAsia="en-AU"/>
              </w:rPr>
            </w:pPr>
            <w:r w:rsidRPr="003B0E42">
              <w:rPr>
                <w:rFonts w:cs="Arial"/>
                <w:kern w:val="24"/>
                <w:sz w:val="18"/>
                <w:szCs w:val="18"/>
                <w:lang w:eastAsia="en-AU"/>
              </w:rPr>
              <w:t>Colorectal cancer</w:t>
            </w:r>
          </w:p>
        </w:tc>
        <w:tc>
          <w:tcPr>
            <w:tcW w:w="1112" w:type="dxa"/>
            <w:shd w:val="clear" w:color="auto" w:fill="auto"/>
            <w:tcMar>
              <w:top w:w="10" w:type="dxa"/>
              <w:left w:w="10" w:type="dxa"/>
              <w:bottom w:w="0" w:type="dxa"/>
              <w:right w:w="10" w:type="dxa"/>
            </w:tcMar>
            <w:vAlign w:val="center"/>
            <w:hideMark/>
          </w:tcPr>
          <w:p w14:paraId="03CDA283" w14:textId="77777777" w:rsidR="00742820" w:rsidRPr="003B0E42" w:rsidRDefault="00742820" w:rsidP="003458B1">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11,505</w:t>
            </w:r>
          </w:p>
        </w:tc>
        <w:tc>
          <w:tcPr>
            <w:tcW w:w="1120" w:type="dxa"/>
            <w:shd w:val="clear" w:color="auto" w:fill="auto"/>
            <w:tcMar>
              <w:top w:w="10" w:type="dxa"/>
              <w:left w:w="10" w:type="dxa"/>
              <w:bottom w:w="0" w:type="dxa"/>
              <w:right w:w="10" w:type="dxa"/>
            </w:tcMar>
            <w:vAlign w:val="center"/>
            <w:hideMark/>
          </w:tcPr>
          <w:p w14:paraId="02E03A4F" w14:textId="77777777" w:rsidR="00742820" w:rsidRPr="003B0E42" w:rsidRDefault="00742820" w:rsidP="003458B1">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11,656</w:t>
            </w:r>
          </w:p>
        </w:tc>
        <w:tc>
          <w:tcPr>
            <w:tcW w:w="1076" w:type="dxa"/>
            <w:shd w:val="clear" w:color="auto" w:fill="auto"/>
            <w:tcMar>
              <w:top w:w="10" w:type="dxa"/>
              <w:left w:w="10" w:type="dxa"/>
              <w:bottom w:w="0" w:type="dxa"/>
              <w:right w:w="10" w:type="dxa"/>
            </w:tcMar>
            <w:vAlign w:val="center"/>
            <w:hideMark/>
          </w:tcPr>
          <w:p w14:paraId="6F299D72" w14:textId="77777777" w:rsidR="00742820" w:rsidRPr="003B0E42" w:rsidRDefault="00742820" w:rsidP="003458B1">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0.99</w:t>
            </w:r>
          </w:p>
        </w:tc>
        <w:tc>
          <w:tcPr>
            <w:tcW w:w="1116" w:type="dxa"/>
            <w:shd w:val="clear" w:color="auto" w:fill="auto"/>
            <w:tcMar>
              <w:top w:w="10" w:type="dxa"/>
              <w:left w:w="10" w:type="dxa"/>
              <w:bottom w:w="0" w:type="dxa"/>
              <w:right w:w="10" w:type="dxa"/>
            </w:tcMar>
            <w:vAlign w:val="center"/>
            <w:hideMark/>
          </w:tcPr>
          <w:p w14:paraId="2A8A19D3" w14:textId="77777777" w:rsidR="00742820" w:rsidRPr="003B0E42" w:rsidRDefault="00742820" w:rsidP="003458B1">
            <w:pPr>
              <w:spacing w:after="0" w:line="240" w:lineRule="auto"/>
              <w:jc w:val="right"/>
              <w:textAlignment w:val="center"/>
              <w:rPr>
                <w:rFonts w:ascii="Arial" w:hAnsi="Arial" w:cs="Arial"/>
                <w:sz w:val="36"/>
                <w:szCs w:val="36"/>
                <w:lang w:eastAsia="en-AU"/>
              </w:rPr>
            </w:pPr>
            <w:r w:rsidRPr="003B0E42">
              <w:rPr>
                <w:rFonts w:cs="Arial"/>
                <w:kern w:val="24"/>
                <w:sz w:val="18"/>
                <w:szCs w:val="18"/>
                <w:lang w:eastAsia="en-AU"/>
              </w:rPr>
              <w:t xml:space="preserve">- 151 </w:t>
            </w:r>
          </w:p>
        </w:tc>
        <w:tc>
          <w:tcPr>
            <w:tcW w:w="1238" w:type="dxa"/>
          </w:tcPr>
          <w:p w14:paraId="0F0D845A" w14:textId="77777777" w:rsidR="00742820" w:rsidRPr="003B0E42" w:rsidRDefault="00742820" w:rsidP="003458B1">
            <w:pPr>
              <w:spacing w:after="0" w:line="240" w:lineRule="auto"/>
              <w:jc w:val="right"/>
              <w:textAlignment w:val="center"/>
              <w:rPr>
                <w:rFonts w:cs="Arial"/>
                <w:kern w:val="24"/>
                <w:sz w:val="18"/>
                <w:szCs w:val="18"/>
                <w:lang w:eastAsia="en-AU"/>
              </w:rPr>
            </w:pPr>
            <w:r>
              <w:rPr>
                <w:rFonts w:cs="Arial"/>
                <w:kern w:val="24"/>
                <w:sz w:val="18"/>
                <w:szCs w:val="18"/>
                <w:lang w:eastAsia="en-AU"/>
              </w:rPr>
              <w:t>- 1%</w:t>
            </w:r>
          </w:p>
        </w:tc>
      </w:tr>
      <w:tr w:rsidR="00742820" w:rsidRPr="003B0E42" w14:paraId="2B7B8D55" w14:textId="77777777" w:rsidTr="00D73C0D">
        <w:trPr>
          <w:trHeight w:val="290"/>
        </w:trPr>
        <w:tc>
          <w:tcPr>
            <w:tcW w:w="3547" w:type="dxa"/>
            <w:shd w:val="clear" w:color="auto" w:fill="auto"/>
            <w:tcMar>
              <w:top w:w="10" w:type="dxa"/>
              <w:left w:w="10" w:type="dxa"/>
              <w:bottom w:w="0" w:type="dxa"/>
              <w:right w:w="10" w:type="dxa"/>
            </w:tcMar>
            <w:vAlign w:val="center"/>
          </w:tcPr>
          <w:p w14:paraId="22623425" w14:textId="77777777" w:rsidR="00742820" w:rsidRPr="003B0E42" w:rsidRDefault="00742820" w:rsidP="003458B1">
            <w:pPr>
              <w:spacing w:after="0" w:line="240" w:lineRule="auto"/>
              <w:textAlignment w:val="center"/>
              <w:rPr>
                <w:rFonts w:cs="Arial"/>
                <w:kern w:val="24"/>
                <w:sz w:val="18"/>
                <w:szCs w:val="18"/>
                <w:lang w:eastAsia="en-AU"/>
              </w:rPr>
            </w:pPr>
            <w:r w:rsidRPr="003B0E42">
              <w:rPr>
                <w:rFonts w:cs="Arial"/>
                <w:kern w:val="24"/>
                <w:sz w:val="18"/>
                <w:szCs w:val="18"/>
                <w:lang w:eastAsia="en-AU"/>
              </w:rPr>
              <w:t xml:space="preserve">Kidney cancer </w:t>
            </w:r>
          </w:p>
        </w:tc>
        <w:tc>
          <w:tcPr>
            <w:tcW w:w="1112" w:type="dxa"/>
            <w:shd w:val="clear" w:color="auto" w:fill="auto"/>
            <w:tcMar>
              <w:top w:w="10" w:type="dxa"/>
              <w:left w:w="10" w:type="dxa"/>
              <w:bottom w:w="0" w:type="dxa"/>
              <w:right w:w="10" w:type="dxa"/>
            </w:tcMar>
            <w:vAlign w:val="center"/>
          </w:tcPr>
          <w:p w14:paraId="2C773653" w14:textId="77777777" w:rsidR="00742820" w:rsidRPr="003B0E42" w:rsidRDefault="00742820" w:rsidP="003458B1">
            <w:pPr>
              <w:spacing w:after="0" w:line="240" w:lineRule="auto"/>
              <w:jc w:val="center"/>
              <w:textAlignment w:val="center"/>
              <w:rPr>
                <w:rFonts w:cs="Arial"/>
                <w:kern w:val="24"/>
                <w:sz w:val="18"/>
                <w:szCs w:val="18"/>
                <w:lang w:eastAsia="en-AU"/>
              </w:rPr>
            </w:pPr>
            <w:r w:rsidRPr="003B0E42">
              <w:rPr>
                <w:rFonts w:cs="Arial"/>
                <w:kern w:val="24"/>
                <w:sz w:val="18"/>
                <w:szCs w:val="18"/>
                <w:lang w:eastAsia="en-AU"/>
              </w:rPr>
              <w:t>2,451</w:t>
            </w:r>
          </w:p>
        </w:tc>
        <w:tc>
          <w:tcPr>
            <w:tcW w:w="1120" w:type="dxa"/>
            <w:shd w:val="clear" w:color="auto" w:fill="auto"/>
            <w:tcMar>
              <w:top w:w="10" w:type="dxa"/>
              <w:left w:w="10" w:type="dxa"/>
              <w:bottom w:w="0" w:type="dxa"/>
              <w:right w:w="10" w:type="dxa"/>
            </w:tcMar>
            <w:vAlign w:val="center"/>
          </w:tcPr>
          <w:p w14:paraId="746BE18B" w14:textId="77777777" w:rsidR="00742820" w:rsidRPr="003B0E42" w:rsidRDefault="00742820" w:rsidP="003458B1">
            <w:pPr>
              <w:spacing w:after="0" w:line="240" w:lineRule="auto"/>
              <w:jc w:val="center"/>
              <w:textAlignment w:val="center"/>
              <w:rPr>
                <w:rFonts w:cs="Arial"/>
                <w:kern w:val="24"/>
                <w:sz w:val="18"/>
                <w:szCs w:val="18"/>
                <w:lang w:eastAsia="en-AU"/>
              </w:rPr>
            </w:pPr>
            <w:r w:rsidRPr="003B0E42">
              <w:rPr>
                <w:rFonts w:cs="Arial"/>
                <w:kern w:val="24"/>
                <w:sz w:val="18"/>
                <w:szCs w:val="18"/>
                <w:lang w:eastAsia="en-AU"/>
              </w:rPr>
              <w:t>2,518</w:t>
            </w:r>
          </w:p>
        </w:tc>
        <w:tc>
          <w:tcPr>
            <w:tcW w:w="1076" w:type="dxa"/>
            <w:shd w:val="clear" w:color="auto" w:fill="auto"/>
            <w:tcMar>
              <w:top w:w="10" w:type="dxa"/>
              <w:left w:w="10" w:type="dxa"/>
              <w:bottom w:w="0" w:type="dxa"/>
              <w:right w:w="10" w:type="dxa"/>
            </w:tcMar>
            <w:vAlign w:val="center"/>
          </w:tcPr>
          <w:p w14:paraId="69B89811" w14:textId="77777777" w:rsidR="00742820" w:rsidRPr="003B0E42" w:rsidRDefault="00742820" w:rsidP="003458B1">
            <w:pPr>
              <w:spacing w:after="0" w:line="240" w:lineRule="auto"/>
              <w:jc w:val="center"/>
              <w:textAlignment w:val="center"/>
              <w:rPr>
                <w:rFonts w:cs="Arial"/>
                <w:kern w:val="24"/>
                <w:sz w:val="18"/>
                <w:szCs w:val="18"/>
                <w:lang w:eastAsia="en-AU"/>
              </w:rPr>
            </w:pPr>
            <w:r w:rsidRPr="003B0E42">
              <w:rPr>
                <w:rFonts w:cs="Arial"/>
                <w:kern w:val="24"/>
                <w:sz w:val="18"/>
                <w:szCs w:val="18"/>
                <w:lang w:eastAsia="en-AU"/>
              </w:rPr>
              <w:t>0.97</w:t>
            </w:r>
          </w:p>
        </w:tc>
        <w:tc>
          <w:tcPr>
            <w:tcW w:w="1116" w:type="dxa"/>
            <w:shd w:val="clear" w:color="auto" w:fill="auto"/>
            <w:tcMar>
              <w:top w:w="10" w:type="dxa"/>
              <w:left w:w="10" w:type="dxa"/>
              <w:bottom w:w="0" w:type="dxa"/>
              <w:right w:w="10" w:type="dxa"/>
            </w:tcMar>
            <w:vAlign w:val="center"/>
          </w:tcPr>
          <w:p w14:paraId="69AEA6B4" w14:textId="77777777" w:rsidR="00742820" w:rsidRPr="003B0E42" w:rsidRDefault="00742820" w:rsidP="003458B1">
            <w:pPr>
              <w:spacing w:after="0" w:line="240" w:lineRule="auto"/>
              <w:jc w:val="right"/>
              <w:textAlignment w:val="center"/>
              <w:rPr>
                <w:rFonts w:cs="Arial"/>
                <w:kern w:val="24"/>
                <w:sz w:val="18"/>
                <w:szCs w:val="18"/>
                <w:lang w:eastAsia="en-AU"/>
              </w:rPr>
            </w:pPr>
            <w:r w:rsidRPr="003B0E42">
              <w:rPr>
                <w:rFonts w:cs="Arial"/>
                <w:kern w:val="24"/>
                <w:sz w:val="18"/>
                <w:szCs w:val="18"/>
                <w:lang w:eastAsia="en-AU"/>
              </w:rPr>
              <w:t xml:space="preserve">- 67 </w:t>
            </w:r>
          </w:p>
        </w:tc>
        <w:tc>
          <w:tcPr>
            <w:tcW w:w="1238" w:type="dxa"/>
          </w:tcPr>
          <w:p w14:paraId="6C3E421F" w14:textId="77777777" w:rsidR="00742820" w:rsidRDefault="00742820" w:rsidP="003458B1">
            <w:pPr>
              <w:spacing w:after="0" w:line="240" w:lineRule="auto"/>
              <w:jc w:val="right"/>
              <w:textAlignment w:val="center"/>
              <w:rPr>
                <w:rFonts w:cs="Arial"/>
                <w:kern w:val="24"/>
                <w:sz w:val="18"/>
                <w:szCs w:val="18"/>
                <w:lang w:eastAsia="en-AU"/>
              </w:rPr>
            </w:pPr>
            <w:r>
              <w:rPr>
                <w:rFonts w:cs="Arial"/>
                <w:kern w:val="24"/>
                <w:sz w:val="18"/>
                <w:szCs w:val="18"/>
                <w:lang w:eastAsia="en-AU"/>
              </w:rPr>
              <w:t>- 3%</w:t>
            </w:r>
          </w:p>
        </w:tc>
      </w:tr>
      <w:tr w:rsidR="00742820" w:rsidRPr="003B0E42" w14:paraId="621023CD" w14:textId="77777777" w:rsidTr="00D73C0D">
        <w:trPr>
          <w:trHeight w:val="290"/>
        </w:trPr>
        <w:tc>
          <w:tcPr>
            <w:tcW w:w="3547" w:type="dxa"/>
            <w:shd w:val="clear" w:color="auto" w:fill="auto"/>
            <w:tcMar>
              <w:top w:w="10" w:type="dxa"/>
              <w:left w:w="10" w:type="dxa"/>
              <w:bottom w:w="0" w:type="dxa"/>
              <w:right w:w="10" w:type="dxa"/>
            </w:tcMar>
            <w:vAlign w:val="center"/>
          </w:tcPr>
          <w:p w14:paraId="3DE9C946" w14:textId="77777777" w:rsidR="00742820" w:rsidRPr="003B0E42" w:rsidRDefault="00742820" w:rsidP="003458B1">
            <w:pPr>
              <w:spacing w:after="0" w:line="240" w:lineRule="auto"/>
              <w:textAlignment w:val="center"/>
              <w:rPr>
                <w:rFonts w:cs="Arial"/>
                <w:kern w:val="24"/>
                <w:sz w:val="18"/>
                <w:szCs w:val="18"/>
                <w:lang w:eastAsia="en-AU"/>
              </w:rPr>
            </w:pPr>
            <w:r w:rsidRPr="003B0E42">
              <w:rPr>
                <w:rFonts w:cs="Arial"/>
                <w:kern w:val="24"/>
                <w:sz w:val="18"/>
                <w:szCs w:val="18"/>
                <w:lang w:eastAsia="en-AU"/>
              </w:rPr>
              <w:t>Liver cancer</w:t>
            </w:r>
          </w:p>
        </w:tc>
        <w:tc>
          <w:tcPr>
            <w:tcW w:w="1112" w:type="dxa"/>
            <w:shd w:val="clear" w:color="auto" w:fill="auto"/>
            <w:tcMar>
              <w:top w:w="10" w:type="dxa"/>
              <w:left w:w="10" w:type="dxa"/>
              <w:bottom w:w="0" w:type="dxa"/>
              <w:right w:w="10" w:type="dxa"/>
            </w:tcMar>
            <w:vAlign w:val="center"/>
          </w:tcPr>
          <w:p w14:paraId="4CDB62A3" w14:textId="77777777" w:rsidR="00742820" w:rsidRPr="003B0E42" w:rsidRDefault="00742820" w:rsidP="003458B1">
            <w:pPr>
              <w:spacing w:after="0" w:line="240" w:lineRule="auto"/>
              <w:jc w:val="center"/>
              <w:textAlignment w:val="center"/>
              <w:rPr>
                <w:rFonts w:cs="Arial"/>
                <w:kern w:val="24"/>
                <w:sz w:val="18"/>
                <w:szCs w:val="18"/>
                <w:lang w:eastAsia="en-AU"/>
              </w:rPr>
            </w:pPr>
            <w:r w:rsidRPr="003B0E42">
              <w:rPr>
                <w:rFonts w:cs="Arial"/>
                <w:kern w:val="24"/>
                <w:sz w:val="18"/>
                <w:szCs w:val="18"/>
                <w:lang w:eastAsia="en-AU"/>
              </w:rPr>
              <w:t>1,507</w:t>
            </w:r>
          </w:p>
        </w:tc>
        <w:tc>
          <w:tcPr>
            <w:tcW w:w="1120" w:type="dxa"/>
            <w:shd w:val="clear" w:color="auto" w:fill="auto"/>
            <w:tcMar>
              <w:top w:w="10" w:type="dxa"/>
              <w:left w:w="10" w:type="dxa"/>
              <w:bottom w:w="0" w:type="dxa"/>
              <w:right w:w="10" w:type="dxa"/>
            </w:tcMar>
            <w:vAlign w:val="center"/>
          </w:tcPr>
          <w:p w14:paraId="1763E9C0" w14:textId="77777777" w:rsidR="00742820" w:rsidRPr="003B0E42" w:rsidRDefault="00742820" w:rsidP="003458B1">
            <w:pPr>
              <w:spacing w:after="0" w:line="240" w:lineRule="auto"/>
              <w:jc w:val="center"/>
              <w:textAlignment w:val="center"/>
              <w:rPr>
                <w:rFonts w:cs="Arial"/>
                <w:kern w:val="24"/>
                <w:sz w:val="18"/>
                <w:szCs w:val="18"/>
                <w:lang w:eastAsia="en-AU"/>
              </w:rPr>
            </w:pPr>
            <w:r w:rsidRPr="003B0E42">
              <w:rPr>
                <w:rFonts w:cs="Arial"/>
                <w:kern w:val="24"/>
                <w:sz w:val="18"/>
                <w:szCs w:val="18"/>
                <w:lang w:eastAsia="en-AU"/>
              </w:rPr>
              <w:t>1,454</w:t>
            </w:r>
          </w:p>
        </w:tc>
        <w:tc>
          <w:tcPr>
            <w:tcW w:w="1076" w:type="dxa"/>
            <w:shd w:val="clear" w:color="auto" w:fill="auto"/>
            <w:tcMar>
              <w:top w:w="10" w:type="dxa"/>
              <w:left w:w="10" w:type="dxa"/>
              <w:bottom w:w="0" w:type="dxa"/>
              <w:right w:w="10" w:type="dxa"/>
            </w:tcMar>
            <w:vAlign w:val="center"/>
          </w:tcPr>
          <w:p w14:paraId="6F0B18C1" w14:textId="77777777" w:rsidR="00742820" w:rsidRPr="003B0E42" w:rsidRDefault="00742820" w:rsidP="003458B1">
            <w:pPr>
              <w:spacing w:after="0" w:line="240" w:lineRule="auto"/>
              <w:jc w:val="center"/>
              <w:textAlignment w:val="center"/>
              <w:rPr>
                <w:rFonts w:cs="Arial"/>
                <w:kern w:val="24"/>
                <w:sz w:val="18"/>
                <w:szCs w:val="18"/>
                <w:lang w:eastAsia="en-AU"/>
              </w:rPr>
            </w:pPr>
            <w:r w:rsidRPr="003B0E42">
              <w:rPr>
                <w:rFonts w:cs="Arial"/>
                <w:kern w:val="24"/>
                <w:sz w:val="18"/>
                <w:szCs w:val="18"/>
                <w:lang w:eastAsia="en-AU"/>
              </w:rPr>
              <w:t>1.04</w:t>
            </w:r>
          </w:p>
        </w:tc>
        <w:tc>
          <w:tcPr>
            <w:tcW w:w="1116" w:type="dxa"/>
            <w:shd w:val="clear" w:color="auto" w:fill="auto"/>
            <w:tcMar>
              <w:top w:w="10" w:type="dxa"/>
              <w:left w:w="10" w:type="dxa"/>
              <w:bottom w:w="0" w:type="dxa"/>
              <w:right w:w="10" w:type="dxa"/>
            </w:tcMar>
            <w:vAlign w:val="center"/>
          </w:tcPr>
          <w:p w14:paraId="17C19230" w14:textId="77777777" w:rsidR="00742820" w:rsidRPr="003B0E42" w:rsidRDefault="00742820" w:rsidP="003458B1">
            <w:pPr>
              <w:spacing w:after="0" w:line="240" w:lineRule="auto"/>
              <w:jc w:val="right"/>
              <w:textAlignment w:val="center"/>
              <w:rPr>
                <w:rFonts w:cs="Arial"/>
                <w:kern w:val="24"/>
                <w:sz w:val="18"/>
                <w:szCs w:val="18"/>
                <w:lang w:eastAsia="en-AU"/>
              </w:rPr>
            </w:pPr>
            <w:r>
              <w:rPr>
                <w:rFonts w:cs="Arial"/>
                <w:kern w:val="24"/>
                <w:sz w:val="18"/>
                <w:szCs w:val="18"/>
                <w:lang w:eastAsia="en-AU"/>
              </w:rPr>
              <w:t xml:space="preserve">+ </w:t>
            </w:r>
            <w:r w:rsidRPr="003B0E42">
              <w:rPr>
                <w:rFonts w:cs="Arial"/>
                <w:kern w:val="24"/>
                <w:sz w:val="18"/>
                <w:szCs w:val="18"/>
                <w:lang w:eastAsia="en-AU"/>
              </w:rPr>
              <w:t xml:space="preserve">53 </w:t>
            </w:r>
          </w:p>
        </w:tc>
        <w:tc>
          <w:tcPr>
            <w:tcW w:w="1238" w:type="dxa"/>
          </w:tcPr>
          <w:p w14:paraId="7811E877" w14:textId="77777777" w:rsidR="00742820" w:rsidRDefault="00742820" w:rsidP="003458B1">
            <w:pPr>
              <w:spacing w:after="0" w:line="240" w:lineRule="auto"/>
              <w:jc w:val="right"/>
              <w:textAlignment w:val="center"/>
              <w:rPr>
                <w:rFonts w:cs="Arial"/>
                <w:kern w:val="24"/>
                <w:sz w:val="18"/>
                <w:szCs w:val="18"/>
                <w:lang w:eastAsia="en-AU"/>
              </w:rPr>
            </w:pPr>
            <w:r>
              <w:rPr>
                <w:rFonts w:cs="Arial"/>
                <w:kern w:val="24"/>
                <w:sz w:val="18"/>
                <w:szCs w:val="18"/>
                <w:lang w:eastAsia="en-AU"/>
              </w:rPr>
              <w:t>+ 4%</w:t>
            </w:r>
          </w:p>
        </w:tc>
      </w:tr>
      <w:tr w:rsidR="00742820" w:rsidRPr="003B0E42" w14:paraId="4C58932D" w14:textId="77777777" w:rsidTr="00D73C0D">
        <w:trPr>
          <w:trHeight w:val="290"/>
        </w:trPr>
        <w:tc>
          <w:tcPr>
            <w:tcW w:w="3547" w:type="dxa"/>
            <w:shd w:val="clear" w:color="auto" w:fill="auto"/>
            <w:tcMar>
              <w:top w:w="10" w:type="dxa"/>
              <w:left w:w="10" w:type="dxa"/>
              <w:bottom w:w="0" w:type="dxa"/>
              <w:right w:w="10" w:type="dxa"/>
            </w:tcMar>
            <w:vAlign w:val="center"/>
          </w:tcPr>
          <w:p w14:paraId="203A5201" w14:textId="77777777" w:rsidR="00742820" w:rsidRPr="003B0E42" w:rsidRDefault="00742820" w:rsidP="003458B1">
            <w:pPr>
              <w:spacing w:after="0" w:line="240" w:lineRule="auto"/>
              <w:textAlignment w:val="center"/>
              <w:rPr>
                <w:rFonts w:cs="Arial"/>
                <w:kern w:val="24"/>
                <w:sz w:val="18"/>
                <w:szCs w:val="18"/>
                <w:lang w:eastAsia="en-AU"/>
              </w:rPr>
            </w:pPr>
            <w:r w:rsidRPr="003B0E42">
              <w:rPr>
                <w:rFonts w:cs="Arial"/>
                <w:kern w:val="24"/>
                <w:sz w:val="18"/>
                <w:szCs w:val="18"/>
                <w:lang w:eastAsia="en-AU"/>
              </w:rPr>
              <w:t>Lung cancer</w:t>
            </w:r>
          </w:p>
        </w:tc>
        <w:tc>
          <w:tcPr>
            <w:tcW w:w="1112" w:type="dxa"/>
            <w:shd w:val="clear" w:color="auto" w:fill="auto"/>
            <w:tcMar>
              <w:top w:w="10" w:type="dxa"/>
              <w:left w:w="10" w:type="dxa"/>
              <w:bottom w:w="0" w:type="dxa"/>
              <w:right w:w="10" w:type="dxa"/>
            </w:tcMar>
            <w:vAlign w:val="center"/>
          </w:tcPr>
          <w:p w14:paraId="7868C4BB" w14:textId="77777777" w:rsidR="00742820" w:rsidRPr="003B0E42" w:rsidRDefault="00742820" w:rsidP="003458B1">
            <w:pPr>
              <w:spacing w:after="0" w:line="240" w:lineRule="auto"/>
              <w:jc w:val="center"/>
              <w:textAlignment w:val="center"/>
              <w:rPr>
                <w:rFonts w:cs="Arial"/>
                <w:kern w:val="24"/>
                <w:sz w:val="18"/>
                <w:szCs w:val="18"/>
                <w:lang w:eastAsia="en-AU"/>
              </w:rPr>
            </w:pPr>
            <w:r w:rsidRPr="003B0E42">
              <w:rPr>
                <w:rFonts w:cs="Arial"/>
                <w:kern w:val="24"/>
                <w:sz w:val="18"/>
                <w:szCs w:val="18"/>
                <w:lang w:eastAsia="en-AU"/>
              </w:rPr>
              <w:t>3,696</w:t>
            </w:r>
          </w:p>
        </w:tc>
        <w:tc>
          <w:tcPr>
            <w:tcW w:w="1120" w:type="dxa"/>
            <w:shd w:val="clear" w:color="auto" w:fill="auto"/>
            <w:tcMar>
              <w:top w:w="10" w:type="dxa"/>
              <w:left w:w="10" w:type="dxa"/>
              <w:bottom w:w="0" w:type="dxa"/>
              <w:right w:w="10" w:type="dxa"/>
            </w:tcMar>
            <w:vAlign w:val="center"/>
          </w:tcPr>
          <w:p w14:paraId="66502800" w14:textId="77777777" w:rsidR="00742820" w:rsidRPr="003B0E42" w:rsidRDefault="00742820" w:rsidP="003458B1">
            <w:pPr>
              <w:spacing w:after="0" w:line="240" w:lineRule="auto"/>
              <w:jc w:val="center"/>
              <w:textAlignment w:val="center"/>
              <w:rPr>
                <w:rFonts w:cs="Arial"/>
                <w:kern w:val="24"/>
                <w:sz w:val="18"/>
                <w:szCs w:val="18"/>
                <w:lang w:eastAsia="en-AU"/>
              </w:rPr>
            </w:pPr>
            <w:r w:rsidRPr="003B0E42">
              <w:rPr>
                <w:rFonts w:cs="Arial"/>
                <w:kern w:val="24"/>
                <w:sz w:val="18"/>
                <w:szCs w:val="18"/>
                <w:lang w:eastAsia="en-AU"/>
              </w:rPr>
              <w:t>3,628</w:t>
            </w:r>
          </w:p>
        </w:tc>
        <w:tc>
          <w:tcPr>
            <w:tcW w:w="1076" w:type="dxa"/>
            <w:shd w:val="clear" w:color="auto" w:fill="auto"/>
            <w:tcMar>
              <w:top w:w="10" w:type="dxa"/>
              <w:left w:w="10" w:type="dxa"/>
              <w:bottom w:w="0" w:type="dxa"/>
              <w:right w:w="10" w:type="dxa"/>
            </w:tcMar>
            <w:vAlign w:val="center"/>
          </w:tcPr>
          <w:p w14:paraId="2C1B81C3" w14:textId="77777777" w:rsidR="00742820" w:rsidRPr="003B0E42" w:rsidRDefault="00742820" w:rsidP="003458B1">
            <w:pPr>
              <w:spacing w:after="0" w:line="240" w:lineRule="auto"/>
              <w:jc w:val="center"/>
              <w:textAlignment w:val="center"/>
              <w:rPr>
                <w:rFonts w:cs="Arial"/>
                <w:kern w:val="24"/>
                <w:sz w:val="18"/>
                <w:szCs w:val="18"/>
                <w:lang w:eastAsia="en-AU"/>
              </w:rPr>
            </w:pPr>
            <w:r w:rsidRPr="003B0E42">
              <w:rPr>
                <w:rFonts w:cs="Arial"/>
                <w:kern w:val="24"/>
                <w:sz w:val="18"/>
                <w:szCs w:val="18"/>
                <w:lang w:eastAsia="en-AU"/>
              </w:rPr>
              <w:t>1.02</w:t>
            </w:r>
          </w:p>
        </w:tc>
        <w:tc>
          <w:tcPr>
            <w:tcW w:w="1116" w:type="dxa"/>
            <w:shd w:val="clear" w:color="auto" w:fill="auto"/>
            <w:tcMar>
              <w:top w:w="10" w:type="dxa"/>
              <w:left w:w="10" w:type="dxa"/>
              <w:bottom w:w="0" w:type="dxa"/>
              <w:right w:w="10" w:type="dxa"/>
            </w:tcMar>
            <w:vAlign w:val="center"/>
          </w:tcPr>
          <w:p w14:paraId="364DCFAF" w14:textId="77777777" w:rsidR="00742820" w:rsidRPr="003B0E42" w:rsidRDefault="00742820" w:rsidP="003458B1">
            <w:pPr>
              <w:spacing w:after="0" w:line="240" w:lineRule="auto"/>
              <w:jc w:val="right"/>
              <w:textAlignment w:val="center"/>
              <w:rPr>
                <w:rFonts w:cs="Arial"/>
                <w:kern w:val="24"/>
                <w:sz w:val="18"/>
                <w:szCs w:val="18"/>
                <w:lang w:eastAsia="en-AU"/>
              </w:rPr>
            </w:pPr>
            <w:r>
              <w:rPr>
                <w:rFonts w:cs="Arial"/>
                <w:kern w:val="24"/>
                <w:sz w:val="18"/>
                <w:szCs w:val="18"/>
                <w:lang w:eastAsia="en-AU"/>
              </w:rPr>
              <w:t xml:space="preserve">+ </w:t>
            </w:r>
            <w:r w:rsidRPr="003B0E42">
              <w:rPr>
                <w:rFonts w:cs="Arial"/>
                <w:kern w:val="24"/>
                <w:sz w:val="18"/>
                <w:szCs w:val="18"/>
                <w:lang w:eastAsia="en-AU"/>
              </w:rPr>
              <w:t xml:space="preserve">68 </w:t>
            </w:r>
          </w:p>
        </w:tc>
        <w:tc>
          <w:tcPr>
            <w:tcW w:w="1238" w:type="dxa"/>
          </w:tcPr>
          <w:p w14:paraId="62254F1A" w14:textId="77777777" w:rsidR="00742820" w:rsidRDefault="00742820" w:rsidP="003458B1">
            <w:pPr>
              <w:spacing w:after="0" w:line="240" w:lineRule="auto"/>
              <w:jc w:val="right"/>
              <w:textAlignment w:val="center"/>
              <w:rPr>
                <w:rFonts w:cs="Arial"/>
                <w:kern w:val="24"/>
                <w:sz w:val="18"/>
                <w:szCs w:val="18"/>
                <w:lang w:eastAsia="en-AU"/>
              </w:rPr>
            </w:pPr>
            <w:r>
              <w:rPr>
                <w:rFonts w:cs="Arial"/>
                <w:kern w:val="24"/>
                <w:sz w:val="18"/>
                <w:szCs w:val="18"/>
                <w:lang w:eastAsia="en-AU"/>
              </w:rPr>
              <w:t>+ 2%</w:t>
            </w:r>
          </w:p>
        </w:tc>
      </w:tr>
      <w:tr w:rsidR="00742820" w:rsidRPr="003B0E42" w14:paraId="75D79DA2" w14:textId="77777777" w:rsidTr="00D73C0D">
        <w:trPr>
          <w:trHeight w:val="290"/>
        </w:trPr>
        <w:tc>
          <w:tcPr>
            <w:tcW w:w="3547" w:type="dxa"/>
            <w:shd w:val="clear" w:color="auto" w:fill="auto"/>
            <w:tcMar>
              <w:top w:w="10" w:type="dxa"/>
              <w:left w:w="10" w:type="dxa"/>
              <w:bottom w:w="0" w:type="dxa"/>
              <w:right w:w="10" w:type="dxa"/>
            </w:tcMar>
            <w:vAlign w:val="center"/>
            <w:hideMark/>
          </w:tcPr>
          <w:p w14:paraId="7D13136A" w14:textId="77777777" w:rsidR="00742820" w:rsidRPr="003B0E42" w:rsidRDefault="00742820" w:rsidP="003458B1">
            <w:pPr>
              <w:spacing w:after="0" w:line="240" w:lineRule="auto"/>
              <w:textAlignment w:val="center"/>
              <w:rPr>
                <w:rFonts w:ascii="Arial" w:hAnsi="Arial" w:cs="Arial"/>
                <w:sz w:val="36"/>
                <w:szCs w:val="36"/>
                <w:lang w:eastAsia="en-AU"/>
              </w:rPr>
            </w:pPr>
            <w:r w:rsidRPr="003B0E42">
              <w:rPr>
                <w:rFonts w:cs="Arial"/>
                <w:kern w:val="24"/>
                <w:sz w:val="18"/>
                <w:szCs w:val="18"/>
                <w:lang w:eastAsia="en-AU"/>
              </w:rPr>
              <w:t xml:space="preserve">Melanoma </w:t>
            </w:r>
            <w:r>
              <w:rPr>
                <w:rFonts w:cs="Arial"/>
                <w:kern w:val="24"/>
                <w:sz w:val="18"/>
                <w:szCs w:val="18"/>
                <w:lang w:eastAsia="en-AU"/>
              </w:rPr>
              <w:t xml:space="preserve">of the </w:t>
            </w:r>
            <w:r w:rsidRPr="003B0E42">
              <w:rPr>
                <w:rFonts w:cs="Arial"/>
                <w:kern w:val="24"/>
                <w:sz w:val="18"/>
                <w:szCs w:val="18"/>
                <w:lang w:eastAsia="en-AU"/>
              </w:rPr>
              <w:t>skin</w:t>
            </w:r>
            <w:r>
              <w:rPr>
                <w:rStyle w:val="FootnoteReference"/>
                <w:rFonts w:cs="Arial"/>
                <w:kern w:val="24"/>
                <w:sz w:val="18"/>
                <w:szCs w:val="18"/>
                <w:lang w:eastAsia="en-AU"/>
              </w:rPr>
              <w:footnoteReference w:id="21"/>
            </w:r>
          </w:p>
        </w:tc>
        <w:tc>
          <w:tcPr>
            <w:tcW w:w="1112" w:type="dxa"/>
            <w:shd w:val="clear" w:color="auto" w:fill="auto"/>
            <w:tcMar>
              <w:top w:w="10" w:type="dxa"/>
              <w:left w:w="10" w:type="dxa"/>
              <w:bottom w:w="0" w:type="dxa"/>
              <w:right w:w="10" w:type="dxa"/>
            </w:tcMar>
            <w:vAlign w:val="center"/>
            <w:hideMark/>
          </w:tcPr>
          <w:p w14:paraId="5FDCC331" w14:textId="77777777" w:rsidR="00742820" w:rsidRPr="003B0E42" w:rsidRDefault="00742820" w:rsidP="003458B1">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68,131</w:t>
            </w:r>
          </w:p>
        </w:tc>
        <w:tc>
          <w:tcPr>
            <w:tcW w:w="1120" w:type="dxa"/>
            <w:shd w:val="clear" w:color="auto" w:fill="auto"/>
            <w:tcMar>
              <w:top w:w="10" w:type="dxa"/>
              <w:left w:w="10" w:type="dxa"/>
              <w:bottom w:w="0" w:type="dxa"/>
              <w:right w:w="10" w:type="dxa"/>
            </w:tcMar>
            <w:vAlign w:val="center"/>
            <w:hideMark/>
          </w:tcPr>
          <w:p w14:paraId="3339080B" w14:textId="77777777" w:rsidR="00742820" w:rsidRPr="003B0E42" w:rsidRDefault="00742820" w:rsidP="003458B1">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79,376</w:t>
            </w:r>
          </w:p>
        </w:tc>
        <w:tc>
          <w:tcPr>
            <w:tcW w:w="1076" w:type="dxa"/>
            <w:shd w:val="clear" w:color="auto" w:fill="auto"/>
            <w:tcMar>
              <w:top w:w="10" w:type="dxa"/>
              <w:left w:w="10" w:type="dxa"/>
              <w:bottom w:w="0" w:type="dxa"/>
              <w:right w:w="10" w:type="dxa"/>
            </w:tcMar>
            <w:vAlign w:val="center"/>
            <w:hideMark/>
          </w:tcPr>
          <w:p w14:paraId="2DF64E49" w14:textId="77777777" w:rsidR="00742820" w:rsidRPr="003B0E42" w:rsidRDefault="00742820" w:rsidP="003458B1">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0.86</w:t>
            </w:r>
          </w:p>
        </w:tc>
        <w:tc>
          <w:tcPr>
            <w:tcW w:w="1116" w:type="dxa"/>
            <w:shd w:val="clear" w:color="auto" w:fill="auto"/>
            <w:tcMar>
              <w:top w:w="10" w:type="dxa"/>
              <w:left w:w="10" w:type="dxa"/>
              <w:bottom w:w="0" w:type="dxa"/>
              <w:right w:w="10" w:type="dxa"/>
            </w:tcMar>
            <w:vAlign w:val="center"/>
            <w:hideMark/>
          </w:tcPr>
          <w:p w14:paraId="5D261A83" w14:textId="77777777" w:rsidR="00742820" w:rsidRPr="003B0E42" w:rsidRDefault="00742820" w:rsidP="003458B1">
            <w:pPr>
              <w:spacing w:after="0" w:line="240" w:lineRule="auto"/>
              <w:jc w:val="right"/>
              <w:textAlignment w:val="center"/>
              <w:rPr>
                <w:rFonts w:ascii="Arial" w:hAnsi="Arial" w:cs="Arial"/>
                <w:sz w:val="36"/>
                <w:szCs w:val="36"/>
                <w:lang w:eastAsia="en-AU"/>
              </w:rPr>
            </w:pPr>
            <w:r w:rsidRPr="003B0E42">
              <w:rPr>
                <w:rFonts w:cs="Arial"/>
                <w:kern w:val="24"/>
                <w:sz w:val="18"/>
                <w:szCs w:val="18"/>
                <w:lang w:eastAsia="en-AU"/>
              </w:rPr>
              <w:t xml:space="preserve">- 11,245 </w:t>
            </w:r>
          </w:p>
        </w:tc>
        <w:tc>
          <w:tcPr>
            <w:tcW w:w="1238" w:type="dxa"/>
          </w:tcPr>
          <w:p w14:paraId="19D4052F" w14:textId="77777777" w:rsidR="00742820" w:rsidRPr="003B0E42" w:rsidRDefault="00742820" w:rsidP="003458B1">
            <w:pPr>
              <w:spacing w:after="0" w:line="240" w:lineRule="auto"/>
              <w:jc w:val="right"/>
              <w:textAlignment w:val="center"/>
              <w:rPr>
                <w:rFonts w:cs="Arial"/>
                <w:kern w:val="24"/>
                <w:sz w:val="18"/>
                <w:szCs w:val="18"/>
                <w:lang w:eastAsia="en-AU"/>
              </w:rPr>
            </w:pPr>
            <w:r>
              <w:rPr>
                <w:rFonts w:cs="Arial"/>
                <w:kern w:val="24"/>
                <w:sz w:val="18"/>
                <w:szCs w:val="18"/>
                <w:lang w:eastAsia="en-AU"/>
              </w:rPr>
              <w:t>- 14%</w:t>
            </w:r>
          </w:p>
        </w:tc>
      </w:tr>
      <w:tr w:rsidR="00742820" w:rsidRPr="003B0E42" w14:paraId="1C5BD1B3" w14:textId="77777777" w:rsidTr="00D73C0D">
        <w:trPr>
          <w:trHeight w:val="290"/>
        </w:trPr>
        <w:tc>
          <w:tcPr>
            <w:tcW w:w="3547" w:type="dxa"/>
            <w:shd w:val="clear" w:color="auto" w:fill="auto"/>
            <w:tcMar>
              <w:top w:w="10" w:type="dxa"/>
              <w:left w:w="10" w:type="dxa"/>
              <w:bottom w:w="0" w:type="dxa"/>
              <w:right w:w="10" w:type="dxa"/>
            </w:tcMar>
            <w:vAlign w:val="center"/>
          </w:tcPr>
          <w:p w14:paraId="6BC74D94" w14:textId="77777777" w:rsidR="00742820" w:rsidRPr="003B0E42" w:rsidRDefault="00742820" w:rsidP="003458B1">
            <w:pPr>
              <w:spacing w:after="0" w:line="240" w:lineRule="auto"/>
              <w:textAlignment w:val="center"/>
              <w:rPr>
                <w:rFonts w:cs="Arial"/>
                <w:kern w:val="24"/>
                <w:sz w:val="18"/>
                <w:szCs w:val="18"/>
                <w:lang w:eastAsia="en-AU"/>
              </w:rPr>
            </w:pPr>
            <w:r w:rsidRPr="003B0E42">
              <w:rPr>
                <w:rFonts w:cs="Arial"/>
                <w:kern w:val="24"/>
                <w:sz w:val="18"/>
                <w:szCs w:val="18"/>
                <w:lang w:eastAsia="en-AU"/>
              </w:rPr>
              <w:t>Prostate cancer</w:t>
            </w:r>
          </w:p>
        </w:tc>
        <w:tc>
          <w:tcPr>
            <w:tcW w:w="1112" w:type="dxa"/>
            <w:shd w:val="clear" w:color="auto" w:fill="auto"/>
            <w:tcMar>
              <w:top w:w="10" w:type="dxa"/>
              <w:left w:w="10" w:type="dxa"/>
              <w:bottom w:w="0" w:type="dxa"/>
              <w:right w:w="10" w:type="dxa"/>
            </w:tcMar>
            <w:vAlign w:val="center"/>
          </w:tcPr>
          <w:p w14:paraId="57F81F2D" w14:textId="77777777" w:rsidR="00742820" w:rsidRPr="003B0E42" w:rsidRDefault="00742820" w:rsidP="003458B1">
            <w:pPr>
              <w:spacing w:after="0" w:line="240" w:lineRule="auto"/>
              <w:jc w:val="center"/>
              <w:textAlignment w:val="center"/>
              <w:rPr>
                <w:rFonts w:cs="Arial"/>
                <w:kern w:val="24"/>
                <w:sz w:val="18"/>
                <w:szCs w:val="18"/>
                <w:lang w:eastAsia="en-AU"/>
              </w:rPr>
            </w:pPr>
            <w:r w:rsidRPr="003B0E42">
              <w:rPr>
                <w:rFonts w:cs="Arial"/>
                <w:kern w:val="24"/>
                <w:sz w:val="18"/>
                <w:szCs w:val="18"/>
                <w:lang w:eastAsia="en-AU"/>
              </w:rPr>
              <w:t>21,662</w:t>
            </w:r>
          </w:p>
        </w:tc>
        <w:tc>
          <w:tcPr>
            <w:tcW w:w="1120" w:type="dxa"/>
            <w:shd w:val="clear" w:color="auto" w:fill="auto"/>
            <w:tcMar>
              <w:top w:w="10" w:type="dxa"/>
              <w:left w:w="10" w:type="dxa"/>
              <w:bottom w:w="0" w:type="dxa"/>
              <w:right w:w="10" w:type="dxa"/>
            </w:tcMar>
            <w:vAlign w:val="center"/>
          </w:tcPr>
          <w:p w14:paraId="64D0D74A" w14:textId="77777777" w:rsidR="00742820" w:rsidRPr="003B0E42" w:rsidRDefault="00742820" w:rsidP="003458B1">
            <w:pPr>
              <w:spacing w:after="0" w:line="240" w:lineRule="auto"/>
              <w:jc w:val="center"/>
              <w:textAlignment w:val="center"/>
              <w:rPr>
                <w:rFonts w:cs="Arial"/>
                <w:kern w:val="24"/>
                <w:sz w:val="18"/>
                <w:szCs w:val="18"/>
                <w:lang w:eastAsia="en-AU"/>
              </w:rPr>
            </w:pPr>
            <w:r w:rsidRPr="003B0E42">
              <w:rPr>
                <w:rFonts w:cs="Arial"/>
                <w:kern w:val="24"/>
                <w:sz w:val="18"/>
                <w:szCs w:val="18"/>
                <w:lang w:eastAsia="en-AU"/>
              </w:rPr>
              <w:t>22,198</w:t>
            </w:r>
          </w:p>
        </w:tc>
        <w:tc>
          <w:tcPr>
            <w:tcW w:w="1076" w:type="dxa"/>
            <w:shd w:val="clear" w:color="auto" w:fill="auto"/>
            <w:tcMar>
              <w:top w:w="10" w:type="dxa"/>
              <w:left w:w="10" w:type="dxa"/>
              <w:bottom w:w="0" w:type="dxa"/>
              <w:right w:w="10" w:type="dxa"/>
            </w:tcMar>
            <w:vAlign w:val="center"/>
          </w:tcPr>
          <w:p w14:paraId="3AE018D6" w14:textId="77777777" w:rsidR="00742820" w:rsidRPr="003B0E42" w:rsidRDefault="00742820" w:rsidP="003458B1">
            <w:pPr>
              <w:spacing w:after="0" w:line="240" w:lineRule="auto"/>
              <w:jc w:val="center"/>
              <w:textAlignment w:val="center"/>
              <w:rPr>
                <w:rFonts w:cs="Arial"/>
                <w:kern w:val="24"/>
                <w:sz w:val="18"/>
                <w:szCs w:val="18"/>
                <w:lang w:eastAsia="en-AU"/>
              </w:rPr>
            </w:pPr>
            <w:r w:rsidRPr="003B0E42">
              <w:rPr>
                <w:rFonts w:cs="Arial"/>
                <w:kern w:val="24"/>
                <w:sz w:val="18"/>
                <w:szCs w:val="18"/>
                <w:lang w:eastAsia="en-AU"/>
              </w:rPr>
              <w:t>0.98</w:t>
            </w:r>
          </w:p>
        </w:tc>
        <w:tc>
          <w:tcPr>
            <w:tcW w:w="1116" w:type="dxa"/>
            <w:shd w:val="clear" w:color="auto" w:fill="auto"/>
            <w:tcMar>
              <w:top w:w="10" w:type="dxa"/>
              <w:left w:w="10" w:type="dxa"/>
              <w:bottom w:w="0" w:type="dxa"/>
              <w:right w:w="10" w:type="dxa"/>
            </w:tcMar>
            <w:vAlign w:val="center"/>
          </w:tcPr>
          <w:p w14:paraId="4225933F" w14:textId="77777777" w:rsidR="00742820" w:rsidRPr="003B0E42" w:rsidRDefault="00742820" w:rsidP="003458B1">
            <w:pPr>
              <w:spacing w:after="0" w:line="240" w:lineRule="auto"/>
              <w:jc w:val="right"/>
              <w:textAlignment w:val="center"/>
              <w:rPr>
                <w:rFonts w:cs="Arial"/>
                <w:kern w:val="24"/>
                <w:sz w:val="18"/>
                <w:szCs w:val="18"/>
                <w:lang w:eastAsia="en-AU"/>
              </w:rPr>
            </w:pPr>
            <w:r w:rsidRPr="003B0E42">
              <w:rPr>
                <w:rFonts w:cs="Arial"/>
                <w:kern w:val="24"/>
                <w:sz w:val="18"/>
                <w:szCs w:val="18"/>
                <w:lang w:eastAsia="en-AU"/>
              </w:rPr>
              <w:t xml:space="preserve">- 536 </w:t>
            </w:r>
          </w:p>
        </w:tc>
        <w:tc>
          <w:tcPr>
            <w:tcW w:w="1238" w:type="dxa"/>
          </w:tcPr>
          <w:p w14:paraId="368EB8FF" w14:textId="77777777" w:rsidR="00742820" w:rsidRDefault="00742820" w:rsidP="003458B1">
            <w:pPr>
              <w:spacing w:after="0" w:line="240" w:lineRule="auto"/>
              <w:jc w:val="right"/>
              <w:textAlignment w:val="center"/>
              <w:rPr>
                <w:rFonts w:cs="Arial"/>
                <w:kern w:val="24"/>
                <w:sz w:val="18"/>
                <w:szCs w:val="18"/>
                <w:lang w:eastAsia="en-AU"/>
              </w:rPr>
            </w:pPr>
            <w:r>
              <w:rPr>
                <w:rFonts w:cs="Arial"/>
                <w:kern w:val="24"/>
                <w:sz w:val="18"/>
                <w:szCs w:val="18"/>
                <w:lang w:eastAsia="en-AU"/>
              </w:rPr>
              <w:t>- 2%</w:t>
            </w:r>
          </w:p>
        </w:tc>
      </w:tr>
      <w:tr w:rsidR="00742820" w:rsidRPr="003B0E42" w14:paraId="2E9A8CCB" w14:textId="77777777" w:rsidTr="00D73C0D">
        <w:trPr>
          <w:trHeight w:val="290"/>
        </w:trPr>
        <w:tc>
          <w:tcPr>
            <w:tcW w:w="3547" w:type="dxa"/>
            <w:shd w:val="clear" w:color="auto" w:fill="auto"/>
            <w:tcMar>
              <w:top w:w="10" w:type="dxa"/>
              <w:left w:w="10" w:type="dxa"/>
              <w:bottom w:w="0" w:type="dxa"/>
              <w:right w:w="10" w:type="dxa"/>
            </w:tcMar>
            <w:vAlign w:val="center"/>
            <w:hideMark/>
          </w:tcPr>
          <w:p w14:paraId="09888950" w14:textId="77777777" w:rsidR="00742820" w:rsidRPr="003B0E42" w:rsidRDefault="00742820" w:rsidP="003458B1">
            <w:pPr>
              <w:spacing w:after="0" w:line="240" w:lineRule="auto"/>
              <w:textAlignment w:val="center"/>
              <w:rPr>
                <w:rFonts w:ascii="Arial" w:hAnsi="Arial" w:cs="Arial"/>
                <w:sz w:val="36"/>
                <w:szCs w:val="36"/>
                <w:lang w:eastAsia="en-AU"/>
              </w:rPr>
            </w:pPr>
            <w:r w:rsidRPr="003B0E42">
              <w:rPr>
                <w:rFonts w:cs="Arial"/>
                <w:kern w:val="24"/>
                <w:sz w:val="18"/>
                <w:szCs w:val="18"/>
                <w:lang w:eastAsia="en-AU"/>
              </w:rPr>
              <w:t>Pancreatic cancer</w:t>
            </w:r>
          </w:p>
        </w:tc>
        <w:tc>
          <w:tcPr>
            <w:tcW w:w="1112" w:type="dxa"/>
            <w:shd w:val="clear" w:color="auto" w:fill="auto"/>
            <w:tcMar>
              <w:top w:w="10" w:type="dxa"/>
              <w:left w:w="10" w:type="dxa"/>
              <w:bottom w:w="0" w:type="dxa"/>
              <w:right w:w="10" w:type="dxa"/>
            </w:tcMar>
            <w:vAlign w:val="center"/>
            <w:hideMark/>
          </w:tcPr>
          <w:p w14:paraId="560867E6" w14:textId="77777777" w:rsidR="00742820" w:rsidRPr="003B0E42" w:rsidRDefault="00742820" w:rsidP="003458B1">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4,942</w:t>
            </w:r>
          </w:p>
        </w:tc>
        <w:tc>
          <w:tcPr>
            <w:tcW w:w="1120" w:type="dxa"/>
            <w:shd w:val="clear" w:color="auto" w:fill="auto"/>
            <w:tcMar>
              <w:top w:w="10" w:type="dxa"/>
              <w:left w:w="10" w:type="dxa"/>
              <w:bottom w:w="0" w:type="dxa"/>
              <w:right w:w="10" w:type="dxa"/>
            </w:tcMar>
            <w:vAlign w:val="center"/>
            <w:hideMark/>
          </w:tcPr>
          <w:p w14:paraId="1B86D858" w14:textId="77777777" w:rsidR="00742820" w:rsidRPr="003B0E42" w:rsidRDefault="00742820" w:rsidP="003458B1">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5,294</w:t>
            </w:r>
          </w:p>
        </w:tc>
        <w:tc>
          <w:tcPr>
            <w:tcW w:w="1076" w:type="dxa"/>
            <w:shd w:val="clear" w:color="auto" w:fill="auto"/>
            <w:tcMar>
              <w:top w:w="10" w:type="dxa"/>
              <w:left w:w="10" w:type="dxa"/>
              <w:bottom w:w="0" w:type="dxa"/>
              <w:right w:w="10" w:type="dxa"/>
            </w:tcMar>
            <w:vAlign w:val="center"/>
            <w:hideMark/>
          </w:tcPr>
          <w:p w14:paraId="1F267021" w14:textId="77777777" w:rsidR="00742820" w:rsidRPr="003B0E42" w:rsidRDefault="00742820" w:rsidP="003458B1">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0.93</w:t>
            </w:r>
          </w:p>
        </w:tc>
        <w:tc>
          <w:tcPr>
            <w:tcW w:w="1116" w:type="dxa"/>
            <w:shd w:val="clear" w:color="auto" w:fill="auto"/>
            <w:tcMar>
              <w:top w:w="10" w:type="dxa"/>
              <w:left w:w="10" w:type="dxa"/>
              <w:bottom w:w="0" w:type="dxa"/>
              <w:right w:w="10" w:type="dxa"/>
            </w:tcMar>
            <w:vAlign w:val="center"/>
            <w:hideMark/>
          </w:tcPr>
          <w:p w14:paraId="20A85265" w14:textId="77777777" w:rsidR="00742820" w:rsidRPr="003B0E42" w:rsidRDefault="00742820" w:rsidP="003458B1">
            <w:pPr>
              <w:spacing w:after="0" w:line="240" w:lineRule="auto"/>
              <w:jc w:val="right"/>
              <w:textAlignment w:val="center"/>
              <w:rPr>
                <w:rFonts w:ascii="Arial" w:hAnsi="Arial" w:cs="Arial"/>
                <w:sz w:val="36"/>
                <w:szCs w:val="36"/>
                <w:lang w:eastAsia="en-AU"/>
              </w:rPr>
            </w:pPr>
            <w:r w:rsidRPr="003B0E42">
              <w:rPr>
                <w:rFonts w:cs="Arial"/>
                <w:kern w:val="24"/>
                <w:sz w:val="18"/>
                <w:szCs w:val="18"/>
                <w:lang w:eastAsia="en-AU"/>
              </w:rPr>
              <w:t xml:space="preserve">- 352 </w:t>
            </w:r>
          </w:p>
        </w:tc>
        <w:tc>
          <w:tcPr>
            <w:tcW w:w="1238" w:type="dxa"/>
          </w:tcPr>
          <w:p w14:paraId="746DAD34" w14:textId="77777777" w:rsidR="00742820" w:rsidRPr="003B0E42" w:rsidRDefault="00742820" w:rsidP="003458B1">
            <w:pPr>
              <w:spacing w:after="0" w:line="240" w:lineRule="auto"/>
              <w:jc w:val="right"/>
              <w:textAlignment w:val="center"/>
              <w:rPr>
                <w:rFonts w:cs="Arial"/>
                <w:kern w:val="24"/>
                <w:sz w:val="18"/>
                <w:szCs w:val="18"/>
                <w:lang w:eastAsia="en-AU"/>
              </w:rPr>
            </w:pPr>
            <w:r>
              <w:rPr>
                <w:rFonts w:cs="Arial"/>
                <w:kern w:val="24"/>
                <w:sz w:val="18"/>
                <w:szCs w:val="18"/>
                <w:lang w:eastAsia="en-AU"/>
              </w:rPr>
              <w:t>- 7%</w:t>
            </w:r>
          </w:p>
        </w:tc>
      </w:tr>
      <w:tr w:rsidR="00742820" w:rsidRPr="003B0E42" w14:paraId="03067AD0" w14:textId="77777777" w:rsidTr="00D73C0D">
        <w:trPr>
          <w:trHeight w:val="290"/>
        </w:trPr>
        <w:tc>
          <w:tcPr>
            <w:tcW w:w="3547" w:type="dxa"/>
            <w:shd w:val="clear" w:color="auto" w:fill="auto"/>
            <w:tcMar>
              <w:top w:w="10" w:type="dxa"/>
              <w:left w:w="10" w:type="dxa"/>
              <w:bottom w:w="0" w:type="dxa"/>
              <w:right w:w="10" w:type="dxa"/>
            </w:tcMar>
            <w:vAlign w:val="center"/>
          </w:tcPr>
          <w:p w14:paraId="7A18069C" w14:textId="77777777" w:rsidR="00742820" w:rsidRPr="003B0E42" w:rsidRDefault="00742820" w:rsidP="003458B1">
            <w:pPr>
              <w:spacing w:after="0" w:line="240" w:lineRule="auto"/>
              <w:textAlignment w:val="center"/>
              <w:rPr>
                <w:rFonts w:ascii="Arial" w:hAnsi="Arial" w:cs="Arial"/>
                <w:sz w:val="36"/>
                <w:szCs w:val="36"/>
                <w:lang w:eastAsia="en-AU"/>
              </w:rPr>
            </w:pPr>
            <w:r w:rsidRPr="003B0E42">
              <w:rPr>
                <w:rFonts w:cs="Arial"/>
                <w:kern w:val="24"/>
                <w:sz w:val="18"/>
                <w:szCs w:val="18"/>
                <w:lang w:eastAsia="en-AU"/>
              </w:rPr>
              <w:t>Stomach cancer</w:t>
            </w:r>
          </w:p>
        </w:tc>
        <w:tc>
          <w:tcPr>
            <w:tcW w:w="1112" w:type="dxa"/>
            <w:shd w:val="clear" w:color="auto" w:fill="auto"/>
            <w:tcMar>
              <w:top w:w="10" w:type="dxa"/>
              <w:left w:w="10" w:type="dxa"/>
              <w:bottom w:w="0" w:type="dxa"/>
              <w:right w:w="10" w:type="dxa"/>
            </w:tcMar>
            <w:vAlign w:val="center"/>
          </w:tcPr>
          <w:p w14:paraId="06C277BA" w14:textId="77777777" w:rsidR="00742820" w:rsidRPr="003B0E42" w:rsidRDefault="00742820" w:rsidP="003458B1">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1,004</w:t>
            </w:r>
          </w:p>
        </w:tc>
        <w:tc>
          <w:tcPr>
            <w:tcW w:w="1120" w:type="dxa"/>
            <w:shd w:val="clear" w:color="auto" w:fill="auto"/>
            <w:tcMar>
              <w:top w:w="10" w:type="dxa"/>
              <w:left w:w="10" w:type="dxa"/>
              <w:bottom w:w="0" w:type="dxa"/>
              <w:right w:w="10" w:type="dxa"/>
            </w:tcMar>
            <w:vAlign w:val="center"/>
          </w:tcPr>
          <w:p w14:paraId="6D77C128" w14:textId="77777777" w:rsidR="00742820" w:rsidRPr="003B0E42" w:rsidRDefault="00742820" w:rsidP="003458B1">
            <w:pPr>
              <w:spacing w:after="0" w:line="240" w:lineRule="auto"/>
              <w:jc w:val="center"/>
              <w:textAlignment w:val="center"/>
              <w:rPr>
                <w:rFonts w:ascii="Arial" w:hAnsi="Arial" w:cs="Arial"/>
                <w:sz w:val="36"/>
                <w:szCs w:val="36"/>
                <w:lang w:eastAsia="en-AU"/>
              </w:rPr>
            </w:pPr>
            <w:r>
              <w:rPr>
                <w:rFonts w:cs="Arial"/>
                <w:kern w:val="24"/>
                <w:sz w:val="18"/>
                <w:szCs w:val="18"/>
                <w:lang w:eastAsia="en-AU"/>
              </w:rPr>
              <w:t>1,000</w:t>
            </w:r>
          </w:p>
        </w:tc>
        <w:tc>
          <w:tcPr>
            <w:tcW w:w="1076" w:type="dxa"/>
            <w:shd w:val="clear" w:color="auto" w:fill="auto"/>
            <w:tcMar>
              <w:top w:w="10" w:type="dxa"/>
              <w:left w:w="10" w:type="dxa"/>
              <w:bottom w:w="0" w:type="dxa"/>
              <w:right w:w="10" w:type="dxa"/>
            </w:tcMar>
            <w:vAlign w:val="center"/>
          </w:tcPr>
          <w:p w14:paraId="263A0A47" w14:textId="77777777" w:rsidR="00742820" w:rsidRPr="003B0E42" w:rsidRDefault="00742820" w:rsidP="003458B1">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1.0</w:t>
            </w:r>
            <w:r>
              <w:rPr>
                <w:rFonts w:cs="Arial"/>
                <w:kern w:val="24"/>
                <w:sz w:val="18"/>
                <w:szCs w:val="18"/>
                <w:lang w:eastAsia="en-AU"/>
              </w:rPr>
              <w:t>0</w:t>
            </w:r>
          </w:p>
        </w:tc>
        <w:tc>
          <w:tcPr>
            <w:tcW w:w="1116" w:type="dxa"/>
            <w:shd w:val="clear" w:color="auto" w:fill="auto"/>
            <w:tcMar>
              <w:top w:w="10" w:type="dxa"/>
              <w:left w:w="10" w:type="dxa"/>
              <w:bottom w:w="0" w:type="dxa"/>
              <w:right w:w="10" w:type="dxa"/>
            </w:tcMar>
            <w:vAlign w:val="center"/>
          </w:tcPr>
          <w:p w14:paraId="1BA90B41" w14:textId="77777777" w:rsidR="00742820" w:rsidRPr="003B0E42" w:rsidRDefault="00742820" w:rsidP="003458B1">
            <w:pPr>
              <w:spacing w:after="0" w:line="240" w:lineRule="auto"/>
              <w:jc w:val="right"/>
              <w:textAlignment w:val="center"/>
              <w:rPr>
                <w:rFonts w:ascii="Arial" w:hAnsi="Arial" w:cs="Arial"/>
                <w:sz w:val="36"/>
                <w:szCs w:val="36"/>
                <w:lang w:eastAsia="en-AU"/>
              </w:rPr>
            </w:pPr>
            <w:r>
              <w:rPr>
                <w:rFonts w:cs="Arial"/>
                <w:kern w:val="24"/>
                <w:sz w:val="18"/>
                <w:szCs w:val="18"/>
                <w:lang w:eastAsia="en-AU"/>
              </w:rPr>
              <w:t>+ 4</w:t>
            </w:r>
            <w:r w:rsidRPr="003B0E42">
              <w:rPr>
                <w:rFonts w:cs="Arial"/>
                <w:kern w:val="24"/>
                <w:sz w:val="18"/>
                <w:szCs w:val="18"/>
                <w:lang w:eastAsia="en-AU"/>
              </w:rPr>
              <w:t xml:space="preserve"> </w:t>
            </w:r>
          </w:p>
        </w:tc>
        <w:tc>
          <w:tcPr>
            <w:tcW w:w="1238" w:type="dxa"/>
          </w:tcPr>
          <w:p w14:paraId="3F217EB3" w14:textId="77777777" w:rsidR="00742820" w:rsidRPr="003B0E42" w:rsidRDefault="00742820" w:rsidP="003458B1">
            <w:pPr>
              <w:spacing w:after="0" w:line="240" w:lineRule="auto"/>
              <w:jc w:val="right"/>
              <w:textAlignment w:val="center"/>
              <w:rPr>
                <w:rFonts w:cs="Arial"/>
                <w:kern w:val="24"/>
                <w:sz w:val="18"/>
                <w:szCs w:val="18"/>
                <w:lang w:eastAsia="en-AU"/>
              </w:rPr>
            </w:pPr>
            <w:r>
              <w:rPr>
                <w:rFonts w:cs="Arial"/>
                <w:kern w:val="24"/>
                <w:sz w:val="18"/>
                <w:szCs w:val="18"/>
                <w:lang w:eastAsia="en-AU"/>
              </w:rPr>
              <w:t xml:space="preserve"> 0%</w:t>
            </w:r>
          </w:p>
        </w:tc>
      </w:tr>
      <w:tr w:rsidR="00742820" w:rsidRPr="003B0E42" w14:paraId="1B49FBC0" w14:textId="77777777" w:rsidTr="00D73C0D">
        <w:trPr>
          <w:trHeight w:val="290"/>
        </w:trPr>
        <w:tc>
          <w:tcPr>
            <w:tcW w:w="3547" w:type="dxa"/>
            <w:shd w:val="clear" w:color="auto" w:fill="auto"/>
            <w:tcMar>
              <w:top w:w="10" w:type="dxa"/>
              <w:left w:w="10" w:type="dxa"/>
              <w:bottom w:w="0" w:type="dxa"/>
              <w:right w:w="10" w:type="dxa"/>
            </w:tcMar>
            <w:vAlign w:val="center"/>
          </w:tcPr>
          <w:p w14:paraId="2AA2329D" w14:textId="77777777" w:rsidR="00742820" w:rsidRPr="003B0E42" w:rsidRDefault="00742820" w:rsidP="003458B1">
            <w:pPr>
              <w:spacing w:after="0" w:line="240" w:lineRule="auto"/>
              <w:textAlignment w:val="center"/>
              <w:rPr>
                <w:rFonts w:ascii="Arial" w:hAnsi="Arial" w:cs="Arial"/>
                <w:sz w:val="36"/>
                <w:szCs w:val="36"/>
                <w:lang w:eastAsia="en-AU"/>
              </w:rPr>
            </w:pPr>
            <w:r w:rsidRPr="003B0E42">
              <w:rPr>
                <w:rFonts w:cs="Arial"/>
                <w:kern w:val="24"/>
                <w:sz w:val="18"/>
                <w:szCs w:val="18"/>
                <w:lang w:eastAsia="en-AU"/>
              </w:rPr>
              <w:t>Gynaecological cancer</w:t>
            </w:r>
            <w:r>
              <w:rPr>
                <w:rFonts w:cs="Arial"/>
                <w:kern w:val="24"/>
                <w:sz w:val="18"/>
                <w:szCs w:val="18"/>
                <w:lang w:eastAsia="en-AU"/>
              </w:rPr>
              <w:t>s</w:t>
            </w:r>
            <w:r>
              <w:rPr>
                <w:rStyle w:val="FootnoteReference"/>
                <w:rFonts w:cs="Calibri"/>
                <w:b/>
                <w:sz w:val="18"/>
                <w:szCs w:val="18"/>
              </w:rPr>
              <w:footnoteReference w:id="22"/>
            </w:r>
          </w:p>
        </w:tc>
        <w:tc>
          <w:tcPr>
            <w:tcW w:w="1112" w:type="dxa"/>
            <w:shd w:val="clear" w:color="auto" w:fill="auto"/>
            <w:tcMar>
              <w:top w:w="10" w:type="dxa"/>
              <w:left w:w="10" w:type="dxa"/>
              <w:bottom w:w="0" w:type="dxa"/>
              <w:right w:w="10" w:type="dxa"/>
            </w:tcMar>
            <w:vAlign w:val="center"/>
          </w:tcPr>
          <w:p w14:paraId="2B7C7B98" w14:textId="77777777" w:rsidR="00742820" w:rsidRPr="003B0E42" w:rsidRDefault="00742820" w:rsidP="003458B1">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16,575</w:t>
            </w:r>
          </w:p>
        </w:tc>
        <w:tc>
          <w:tcPr>
            <w:tcW w:w="1120" w:type="dxa"/>
            <w:shd w:val="clear" w:color="auto" w:fill="auto"/>
            <w:tcMar>
              <w:top w:w="10" w:type="dxa"/>
              <w:left w:w="10" w:type="dxa"/>
              <w:bottom w:w="0" w:type="dxa"/>
              <w:right w:w="10" w:type="dxa"/>
            </w:tcMar>
            <w:vAlign w:val="center"/>
          </w:tcPr>
          <w:p w14:paraId="619E366E" w14:textId="77777777" w:rsidR="00742820" w:rsidRPr="003B0E42" w:rsidRDefault="00742820" w:rsidP="003458B1">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17,94</w:t>
            </w:r>
            <w:r>
              <w:rPr>
                <w:rFonts w:cs="Arial"/>
                <w:kern w:val="24"/>
                <w:sz w:val="18"/>
                <w:szCs w:val="18"/>
                <w:lang w:eastAsia="en-AU"/>
              </w:rPr>
              <w:t>7</w:t>
            </w:r>
          </w:p>
        </w:tc>
        <w:tc>
          <w:tcPr>
            <w:tcW w:w="1076" w:type="dxa"/>
            <w:shd w:val="clear" w:color="auto" w:fill="auto"/>
            <w:tcMar>
              <w:top w:w="10" w:type="dxa"/>
              <w:left w:w="10" w:type="dxa"/>
              <w:bottom w:w="0" w:type="dxa"/>
              <w:right w:w="10" w:type="dxa"/>
            </w:tcMar>
            <w:vAlign w:val="center"/>
          </w:tcPr>
          <w:p w14:paraId="0D9B0D5B" w14:textId="77777777" w:rsidR="00742820" w:rsidRPr="003B0E42" w:rsidRDefault="00742820" w:rsidP="003458B1">
            <w:pPr>
              <w:spacing w:after="0" w:line="240" w:lineRule="auto"/>
              <w:jc w:val="center"/>
              <w:textAlignment w:val="center"/>
              <w:rPr>
                <w:rFonts w:ascii="Arial" w:hAnsi="Arial" w:cs="Arial"/>
                <w:sz w:val="36"/>
                <w:szCs w:val="36"/>
                <w:lang w:eastAsia="en-AU"/>
              </w:rPr>
            </w:pPr>
            <w:r w:rsidRPr="003B0E42">
              <w:rPr>
                <w:rFonts w:cs="Arial"/>
                <w:kern w:val="24"/>
                <w:sz w:val="18"/>
                <w:szCs w:val="18"/>
                <w:lang w:eastAsia="en-AU"/>
              </w:rPr>
              <w:t>0.92</w:t>
            </w:r>
          </w:p>
        </w:tc>
        <w:tc>
          <w:tcPr>
            <w:tcW w:w="1116" w:type="dxa"/>
            <w:shd w:val="clear" w:color="auto" w:fill="auto"/>
            <w:tcMar>
              <w:top w:w="10" w:type="dxa"/>
              <w:left w:w="10" w:type="dxa"/>
              <w:bottom w:w="0" w:type="dxa"/>
              <w:right w:w="10" w:type="dxa"/>
            </w:tcMar>
            <w:vAlign w:val="center"/>
          </w:tcPr>
          <w:p w14:paraId="105C050C" w14:textId="77777777" w:rsidR="00742820" w:rsidRPr="003B0E42" w:rsidRDefault="00742820" w:rsidP="003458B1">
            <w:pPr>
              <w:spacing w:after="0" w:line="240" w:lineRule="auto"/>
              <w:jc w:val="right"/>
              <w:textAlignment w:val="center"/>
              <w:rPr>
                <w:rFonts w:ascii="Arial" w:hAnsi="Arial" w:cs="Arial"/>
                <w:sz w:val="36"/>
                <w:szCs w:val="36"/>
                <w:lang w:eastAsia="en-AU"/>
              </w:rPr>
            </w:pPr>
            <w:r w:rsidRPr="003B0E42">
              <w:rPr>
                <w:rFonts w:cs="Arial"/>
                <w:kern w:val="24"/>
                <w:sz w:val="18"/>
                <w:szCs w:val="18"/>
                <w:lang w:eastAsia="en-AU"/>
              </w:rPr>
              <w:t>- 1,37</w:t>
            </w:r>
            <w:r>
              <w:rPr>
                <w:rFonts w:cs="Arial"/>
                <w:kern w:val="24"/>
                <w:sz w:val="18"/>
                <w:szCs w:val="18"/>
                <w:lang w:eastAsia="en-AU"/>
              </w:rPr>
              <w:t>2</w:t>
            </w:r>
            <w:r w:rsidRPr="003B0E42">
              <w:rPr>
                <w:rFonts w:cs="Arial"/>
                <w:kern w:val="24"/>
                <w:sz w:val="18"/>
                <w:szCs w:val="18"/>
                <w:lang w:eastAsia="en-AU"/>
              </w:rPr>
              <w:t xml:space="preserve"> </w:t>
            </w:r>
          </w:p>
        </w:tc>
        <w:tc>
          <w:tcPr>
            <w:tcW w:w="1238" w:type="dxa"/>
          </w:tcPr>
          <w:p w14:paraId="353A5E8C" w14:textId="77777777" w:rsidR="00742820" w:rsidRPr="003B0E42" w:rsidRDefault="00742820" w:rsidP="003458B1">
            <w:pPr>
              <w:spacing w:after="0" w:line="240" w:lineRule="auto"/>
              <w:jc w:val="right"/>
              <w:textAlignment w:val="center"/>
              <w:rPr>
                <w:rFonts w:cs="Arial"/>
                <w:kern w:val="24"/>
                <w:sz w:val="18"/>
                <w:szCs w:val="18"/>
                <w:lang w:eastAsia="en-AU"/>
              </w:rPr>
            </w:pPr>
            <w:r>
              <w:rPr>
                <w:rFonts w:cs="Arial"/>
                <w:kern w:val="24"/>
                <w:sz w:val="18"/>
                <w:szCs w:val="18"/>
                <w:lang w:eastAsia="en-AU"/>
              </w:rPr>
              <w:t>- 8%</w:t>
            </w:r>
          </w:p>
        </w:tc>
      </w:tr>
      <w:tr w:rsidR="00742820" w:rsidRPr="007418F5" w14:paraId="03F6A556" w14:textId="77777777" w:rsidTr="00D73C0D">
        <w:trPr>
          <w:trHeight w:val="290"/>
        </w:trPr>
        <w:tc>
          <w:tcPr>
            <w:tcW w:w="3547" w:type="dxa"/>
            <w:shd w:val="pct50" w:color="auto" w:fill="auto"/>
            <w:tcMar>
              <w:top w:w="10" w:type="dxa"/>
              <w:left w:w="10" w:type="dxa"/>
              <w:bottom w:w="0" w:type="dxa"/>
              <w:right w:w="10" w:type="dxa"/>
            </w:tcMar>
            <w:vAlign w:val="center"/>
            <w:hideMark/>
          </w:tcPr>
          <w:p w14:paraId="004BB4E5" w14:textId="77777777" w:rsidR="00742820" w:rsidRPr="00742820" w:rsidRDefault="00742820" w:rsidP="003458B1">
            <w:pPr>
              <w:spacing w:after="0" w:line="240" w:lineRule="auto"/>
              <w:textAlignment w:val="center"/>
              <w:rPr>
                <w:rFonts w:ascii="Arial" w:hAnsi="Arial" w:cs="Arial"/>
                <w:b/>
                <w:color w:val="FFFFFF"/>
                <w:sz w:val="36"/>
                <w:szCs w:val="36"/>
                <w:lang w:eastAsia="en-AU"/>
              </w:rPr>
            </w:pPr>
            <w:r w:rsidRPr="00742820">
              <w:rPr>
                <w:rFonts w:cs="Arial"/>
                <w:b/>
                <w:color w:val="FFFFFF"/>
                <w:kern w:val="24"/>
                <w:sz w:val="18"/>
                <w:szCs w:val="18"/>
                <w:lang w:eastAsia="en-AU"/>
              </w:rPr>
              <w:t>Total therapeutic procedures</w:t>
            </w:r>
          </w:p>
        </w:tc>
        <w:tc>
          <w:tcPr>
            <w:tcW w:w="1112" w:type="dxa"/>
            <w:shd w:val="pct50" w:color="auto" w:fill="auto"/>
            <w:tcMar>
              <w:top w:w="10" w:type="dxa"/>
              <w:left w:w="10" w:type="dxa"/>
              <w:bottom w:w="0" w:type="dxa"/>
              <w:right w:w="10" w:type="dxa"/>
            </w:tcMar>
            <w:vAlign w:val="center"/>
            <w:hideMark/>
          </w:tcPr>
          <w:p w14:paraId="736754E2" w14:textId="77777777" w:rsidR="00742820" w:rsidRPr="00742820" w:rsidRDefault="00742820" w:rsidP="003458B1">
            <w:pPr>
              <w:spacing w:after="0" w:line="240" w:lineRule="auto"/>
              <w:jc w:val="center"/>
              <w:textAlignment w:val="center"/>
              <w:rPr>
                <w:rFonts w:ascii="Arial" w:hAnsi="Arial" w:cs="Arial"/>
                <w:b/>
                <w:color w:val="FFFFFF"/>
                <w:sz w:val="36"/>
                <w:szCs w:val="36"/>
                <w:lang w:eastAsia="en-AU"/>
              </w:rPr>
            </w:pPr>
            <w:r w:rsidRPr="00742820">
              <w:rPr>
                <w:rFonts w:cs="Arial"/>
                <w:b/>
                <w:color w:val="FFFFFF"/>
                <w:kern w:val="24"/>
                <w:sz w:val="18"/>
                <w:szCs w:val="18"/>
                <w:lang w:eastAsia="en-AU"/>
              </w:rPr>
              <w:t>147,338</w:t>
            </w:r>
          </w:p>
        </w:tc>
        <w:tc>
          <w:tcPr>
            <w:tcW w:w="1120" w:type="dxa"/>
            <w:shd w:val="pct50" w:color="auto" w:fill="auto"/>
            <w:tcMar>
              <w:top w:w="10" w:type="dxa"/>
              <w:left w:w="10" w:type="dxa"/>
              <w:bottom w:w="0" w:type="dxa"/>
              <w:right w:w="10" w:type="dxa"/>
            </w:tcMar>
            <w:vAlign w:val="center"/>
            <w:hideMark/>
          </w:tcPr>
          <w:p w14:paraId="5E305BEF" w14:textId="77777777" w:rsidR="00742820" w:rsidRPr="00742820" w:rsidRDefault="00742820" w:rsidP="003458B1">
            <w:pPr>
              <w:spacing w:after="0" w:line="240" w:lineRule="auto"/>
              <w:jc w:val="center"/>
              <w:textAlignment w:val="center"/>
              <w:rPr>
                <w:rFonts w:ascii="Arial" w:hAnsi="Arial" w:cs="Arial"/>
                <w:b/>
                <w:color w:val="FFFFFF"/>
                <w:sz w:val="36"/>
                <w:szCs w:val="36"/>
                <w:lang w:eastAsia="en-AU"/>
              </w:rPr>
            </w:pPr>
            <w:r w:rsidRPr="00742820">
              <w:rPr>
                <w:rFonts w:cs="Arial"/>
                <w:b/>
                <w:color w:val="FFFFFF"/>
                <w:kern w:val="24"/>
                <w:sz w:val="18"/>
                <w:szCs w:val="18"/>
                <w:lang w:eastAsia="en-AU"/>
              </w:rPr>
              <w:t>161,937</w:t>
            </w:r>
          </w:p>
        </w:tc>
        <w:tc>
          <w:tcPr>
            <w:tcW w:w="1076" w:type="dxa"/>
            <w:shd w:val="pct50" w:color="auto" w:fill="auto"/>
            <w:tcMar>
              <w:top w:w="10" w:type="dxa"/>
              <w:left w:w="10" w:type="dxa"/>
              <w:bottom w:w="0" w:type="dxa"/>
              <w:right w:w="10" w:type="dxa"/>
            </w:tcMar>
            <w:vAlign w:val="center"/>
            <w:hideMark/>
          </w:tcPr>
          <w:p w14:paraId="0043D564" w14:textId="77777777" w:rsidR="00742820" w:rsidRPr="00742820" w:rsidRDefault="00742820" w:rsidP="003458B1">
            <w:pPr>
              <w:spacing w:after="0" w:line="240" w:lineRule="auto"/>
              <w:jc w:val="center"/>
              <w:textAlignment w:val="center"/>
              <w:rPr>
                <w:rFonts w:ascii="Arial" w:hAnsi="Arial" w:cs="Arial"/>
                <w:b/>
                <w:color w:val="FFFFFF"/>
                <w:sz w:val="36"/>
                <w:szCs w:val="36"/>
                <w:lang w:eastAsia="en-AU"/>
              </w:rPr>
            </w:pPr>
            <w:r w:rsidRPr="00742820">
              <w:rPr>
                <w:rFonts w:cs="Arial"/>
                <w:b/>
                <w:color w:val="FFFFFF"/>
                <w:kern w:val="24"/>
                <w:sz w:val="18"/>
                <w:szCs w:val="18"/>
                <w:lang w:eastAsia="en-AU"/>
              </w:rPr>
              <w:t>0.91</w:t>
            </w:r>
          </w:p>
        </w:tc>
        <w:tc>
          <w:tcPr>
            <w:tcW w:w="1116" w:type="dxa"/>
            <w:shd w:val="pct50" w:color="auto" w:fill="auto"/>
            <w:tcMar>
              <w:top w:w="10" w:type="dxa"/>
              <w:left w:w="10" w:type="dxa"/>
              <w:bottom w:w="0" w:type="dxa"/>
              <w:right w:w="10" w:type="dxa"/>
            </w:tcMar>
            <w:vAlign w:val="center"/>
            <w:hideMark/>
          </w:tcPr>
          <w:p w14:paraId="455E1094" w14:textId="77777777" w:rsidR="00742820" w:rsidRPr="00742820" w:rsidRDefault="00742820" w:rsidP="003458B1">
            <w:pPr>
              <w:spacing w:after="0" w:line="240" w:lineRule="auto"/>
              <w:jc w:val="right"/>
              <w:textAlignment w:val="center"/>
              <w:rPr>
                <w:rFonts w:ascii="Arial" w:hAnsi="Arial" w:cs="Arial"/>
                <w:b/>
                <w:color w:val="FFFFFF"/>
                <w:sz w:val="36"/>
                <w:szCs w:val="36"/>
                <w:lang w:eastAsia="en-AU"/>
              </w:rPr>
            </w:pPr>
            <w:r w:rsidRPr="00742820">
              <w:rPr>
                <w:rFonts w:cs="Arial"/>
                <w:b/>
                <w:color w:val="FFFFFF"/>
                <w:kern w:val="24"/>
                <w:sz w:val="18"/>
                <w:szCs w:val="18"/>
                <w:lang w:eastAsia="en-AU"/>
              </w:rPr>
              <w:t>- 14,599</w:t>
            </w:r>
          </w:p>
        </w:tc>
        <w:tc>
          <w:tcPr>
            <w:tcW w:w="1238" w:type="dxa"/>
            <w:shd w:val="pct50" w:color="auto" w:fill="auto"/>
          </w:tcPr>
          <w:p w14:paraId="44AEE0E6" w14:textId="77777777" w:rsidR="00742820" w:rsidRPr="00742820" w:rsidRDefault="00742820" w:rsidP="003458B1">
            <w:pPr>
              <w:spacing w:after="0" w:line="240" w:lineRule="auto"/>
              <w:jc w:val="right"/>
              <w:textAlignment w:val="center"/>
              <w:rPr>
                <w:rFonts w:cs="Arial"/>
                <w:b/>
                <w:color w:val="FFFFFF"/>
                <w:kern w:val="24"/>
                <w:sz w:val="18"/>
                <w:szCs w:val="18"/>
                <w:lang w:eastAsia="en-AU"/>
              </w:rPr>
            </w:pPr>
            <w:r w:rsidRPr="00742820">
              <w:rPr>
                <w:rFonts w:cs="Arial"/>
                <w:b/>
                <w:color w:val="FFFFFF"/>
                <w:kern w:val="24"/>
                <w:sz w:val="18"/>
                <w:szCs w:val="18"/>
                <w:lang w:eastAsia="en-AU"/>
              </w:rPr>
              <w:t>- 9%</w:t>
            </w:r>
          </w:p>
        </w:tc>
      </w:tr>
    </w:tbl>
    <w:p w14:paraId="28317630" w14:textId="05DC9A73" w:rsidR="00742820" w:rsidRPr="00A158AA" w:rsidRDefault="00742820" w:rsidP="00742820">
      <w:pPr>
        <w:pStyle w:val="FigureName"/>
        <w:spacing w:before="480" w:after="200"/>
        <w:ind w:left="1077" w:hanging="1077"/>
      </w:pPr>
      <w:bookmarkStart w:id="81" w:name="_Ref79624176"/>
      <w:bookmarkStart w:id="82" w:name="_Ref79624179"/>
      <w:bookmarkStart w:id="83" w:name="_Toc83720985"/>
      <w:bookmarkStart w:id="84" w:name="_Hlk84946053"/>
      <w:bookmarkEnd w:id="79"/>
      <w:r>
        <w:lastRenderedPageBreak/>
        <w:t>Figure</w:t>
      </w:r>
      <w:bookmarkEnd w:id="81"/>
      <w:r w:rsidR="00914671">
        <w:t xml:space="preserve"> 2</w:t>
      </w:r>
      <w:r>
        <w:tab/>
      </w:r>
      <w:r w:rsidRPr="00A158AA">
        <w:t>Ratio of the observed number of services to expected number of services for selected cancer-related therapeutic procedures for 2020, by cancer type</w:t>
      </w:r>
      <w:bookmarkEnd w:id="82"/>
      <w:bookmarkEnd w:id="83"/>
    </w:p>
    <w:p w14:paraId="0C8FCDC8" w14:textId="77777777" w:rsidR="00742820" w:rsidRDefault="00742820" w:rsidP="00742820">
      <w:pPr>
        <w:keepNext/>
        <w:jc w:val="center"/>
      </w:pPr>
      <w:r w:rsidRPr="00E56966">
        <w:rPr>
          <w:noProof/>
        </w:rPr>
        <w:t xml:space="preserve"> </w:t>
      </w:r>
      <w:r w:rsidR="00834120" w:rsidRPr="005707F4">
        <w:rPr>
          <w:noProof/>
        </w:rPr>
        <w:drawing>
          <wp:inline distT="0" distB="0" distL="0" distR="0" wp14:anchorId="684EB7DD" wp14:editId="76836272">
            <wp:extent cx="4381500" cy="3038475"/>
            <wp:effectExtent l="0" t="0" r="0" b="0"/>
            <wp:docPr id="10" name="Picture 3" descr="The figure depicts the ratio of observed to expected services for annual cancer-related therapeutic procedures by cancer type for the 12 month period January to December 2020. The plot contains a reference line where the number of observed services are equivalent or similar to the number of expected services, which includes colorectal kidney, liver, lung, prostate and stomach cancer. Where the dot is below the reference line, the observed services are lower than expected, which includes breast, melanoma of the skin, pancreatic and gynaecological cancer. No observed services were greater than exp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The figure depicts the ratio of observed to expected services for annual cancer-related therapeutic procedures by cancer type for the 12 month period January to December 2020. The plot contains a reference line where the number of observed services are equivalent or similar to the number of expected services, which includes colorectal kidney, liver, lung, prostate and stomach cancer. Where the dot is below the reference line, the observed services are lower than expected, which includes breast, melanoma of the skin, pancreatic and gynaecological cancer. No observed services were greater than expec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81500" cy="3038475"/>
                    </a:xfrm>
                    <a:prstGeom prst="rect">
                      <a:avLst/>
                    </a:prstGeom>
                    <a:noFill/>
                    <a:ln>
                      <a:noFill/>
                    </a:ln>
                  </pic:spPr>
                </pic:pic>
              </a:graphicData>
            </a:graphic>
          </wp:inline>
        </w:drawing>
      </w:r>
    </w:p>
    <w:bookmarkEnd w:id="84"/>
    <w:p w14:paraId="03D629EE" w14:textId="77777777" w:rsidR="00742820" w:rsidRDefault="00742820" w:rsidP="00357E3F"/>
    <w:p w14:paraId="4A1352BF" w14:textId="77777777" w:rsidR="00D16A9B" w:rsidRDefault="00D1758D" w:rsidP="00871674">
      <w:pPr>
        <w:pStyle w:val="Heading2"/>
        <w:tabs>
          <w:tab w:val="clear" w:pos="1572"/>
          <w:tab w:val="num" w:pos="709"/>
        </w:tabs>
        <w:ind w:left="709" w:hanging="709"/>
        <w:rPr>
          <w:kern w:val="32"/>
        </w:rPr>
      </w:pPr>
      <w:bookmarkStart w:id="85" w:name="_Toc84363189"/>
      <w:bookmarkEnd w:id="74"/>
      <w:r>
        <w:t>Breast cancer</w:t>
      </w:r>
      <w:bookmarkEnd w:id="85"/>
    </w:p>
    <w:p w14:paraId="625A4792" w14:textId="77777777" w:rsidR="00953160" w:rsidRPr="00953160" w:rsidRDefault="00953160" w:rsidP="00D14B60">
      <w:pPr>
        <w:rPr>
          <w:szCs w:val="20"/>
          <w:shd w:val="clear" w:color="auto" w:fill="FFF2CC"/>
        </w:rPr>
      </w:pPr>
      <w:bookmarkStart w:id="86" w:name="_Hlk81843146"/>
      <w:r w:rsidRPr="007418F5">
        <w:rPr>
          <w:szCs w:val="20"/>
        </w:rPr>
        <w:t xml:space="preserve">For treatment of breast cancer, surgical therapeutic procedures examined in these analyses included </w:t>
      </w:r>
      <w:r w:rsidRPr="00D14B60">
        <w:rPr>
          <w:iCs/>
          <w:szCs w:val="20"/>
        </w:rPr>
        <w:t>surgical</w:t>
      </w:r>
      <w:r>
        <w:rPr>
          <w:szCs w:val="20"/>
        </w:rPr>
        <w:t xml:space="preserve"> </w:t>
      </w:r>
      <w:r w:rsidRPr="007418F5">
        <w:rPr>
          <w:szCs w:val="20"/>
        </w:rPr>
        <w:t>excision of breast lesions and mastectomies.</w:t>
      </w:r>
      <w:r w:rsidRPr="00953160">
        <w:rPr>
          <w:szCs w:val="20"/>
          <w:shd w:val="clear" w:color="auto" w:fill="FFF2CC"/>
        </w:rPr>
        <w:t xml:space="preserve"> </w:t>
      </w:r>
      <w:bookmarkEnd w:id="86"/>
    </w:p>
    <w:p w14:paraId="3C78923E" w14:textId="39C79542" w:rsidR="00953160" w:rsidRPr="00973BF3" w:rsidRDefault="00953160" w:rsidP="00D14B60">
      <w:pPr>
        <w:rPr>
          <w:szCs w:val="20"/>
        </w:rPr>
      </w:pPr>
      <w:bookmarkStart w:id="87" w:name="_Hlk81843157"/>
      <w:r>
        <w:rPr>
          <w:szCs w:val="20"/>
        </w:rPr>
        <w:t xml:space="preserve">In 2020, the observed number of services </w:t>
      </w:r>
      <w:r w:rsidRPr="00973BF3">
        <w:rPr>
          <w:szCs w:val="20"/>
        </w:rPr>
        <w:t xml:space="preserve">nationally for </w:t>
      </w:r>
      <w:r>
        <w:rPr>
          <w:noProof/>
          <w:szCs w:val="20"/>
        </w:rPr>
        <w:t>breast</w:t>
      </w:r>
      <w:r w:rsidRPr="00973BF3">
        <w:rPr>
          <w:noProof/>
          <w:szCs w:val="20"/>
        </w:rPr>
        <w:t xml:space="preserve"> cancer-related </w:t>
      </w:r>
      <w:r w:rsidRPr="007418F5">
        <w:rPr>
          <w:noProof/>
          <w:szCs w:val="20"/>
        </w:rPr>
        <w:t xml:space="preserve">surgical therapeutic </w:t>
      </w:r>
      <w:r w:rsidRPr="00D14B60">
        <w:rPr>
          <w:iCs/>
          <w:szCs w:val="20"/>
        </w:rPr>
        <w:t>procedures</w:t>
      </w:r>
      <w:r w:rsidRPr="00973BF3">
        <w:rPr>
          <w:noProof/>
          <w:szCs w:val="20"/>
        </w:rPr>
        <w:t xml:space="preserve"> </w:t>
      </w:r>
      <w:r w:rsidRPr="00973BF3">
        <w:rPr>
          <w:szCs w:val="20"/>
        </w:rPr>
        <w:t xml:space="preserve">was </w:t>
      </w:r>
      <w:r>
        <w:rPr>
          <w:szCs w:val="20"/>
        </w:rPr>
        <w:t>6% lower than expected, with 1,001 fewer services (15,865 services observed versus 16,866 services expected)</w:t>
      </w:r>
      <w:r>
        <w:t xml:space="preserve"> [</w:t>
      </w:r>
      <w:r w:rsidRPr="0096072B">
        <w:fldChar w:fldCharType="begin"/>
      </w:r>
      <w:r w:rsidRPr="0096072B">
        <w:instrText xml:space="preserve"> REF _Ref79624062 \h  \* MERGEFORMAT </w:instrText>
      </w:r>
      <w:r w:rsidRPr="0096072B">
        <w:fldChar w:fldCharType="separate"/>
      </w:r>
      <w:r w:rsidR="00533EE6">
        <w:t xml:space="preserve">Table </w:t>
      </w:r>
      <w:r w:rsidR="00533EE6">
        <w:rPr>
          <w:noProof/>
        </w:rPr>
        <w:t>2</w:t>
      </w:r>
      <w:r w:rsidRPr="0096072B">
        <w:fldChar w:fldCharType="end"/>
      </w:r>
      <w:r w:rsidRPr="0096072B">
        <w:t xml:space="preserve">; </w:t>
      </w:r>
      <w:r w:rsidR="00914671">
        <w:t>Figure 2</w:t>
      </w:r>
      <w:r>
        <w:t>]</w:t>
      </w:r>
      <w:r w:rsidRPr="0096072B">
        <w:rPr>
          <w:szCs w:val="20"/>
        </w:rPr>
        <w:t>.</w:t>
      </w:r>
    </w:p>
    <w:p w14:paraId="788F2511" w14:textId="77777777" w:rsidR="00953160" w:rsidRDefault="00953160" w:rsidP="00D14B60">
      <w:pPr>
        <w:rPr>
          <w:szCs w:val="20"/>
        </w:rPr>
      </w:pPr>
      <w:r>
        <w:rPr>
          <w:szCs w:val="20"/>
        </w:rPr>
        <w:t xml:space="preserve">The observed number of services for 2020 was lower than expected for most jurisdictions. The number of </w:t>
      </w:r>
      <w:r w:rsidRPr="00D14B60">
        <w:rPr>
          <w:iCs/>
          <w:szCs w:val="20"/>
        </w:rPr>
        <w:t>observed</w:t>
      </w:r>
      <w:r>
        <w:rPr>
          <w:szCs w:val="20"/>
        </w:rPr>
        <w:t xml:space="preserve"> services was 5</w:t>
      </w:r>
      <w:r>
        <w:t>–</w:t>
      </w:r>
      <w:r>
        <w:rPr>
          <w:szCs w:val="20"/>
        </w:rPr>
        <w:t xml:space="preserve">16% lower than expected for </w:t>
      </w:r>
      <w:bookmarkStart w:id="88" w:name="_Hlk84947688"/>
      <w:r>
        <w:rPr>
          <w:szCs w:val="20"/>
        </w:rPr>
        <w:t>NSW/ACT, VIC/TAS, and SA/NT</w:t>
      </w:r>
      <w:bookmarkEnd w:id="88"/>
      <w:r w:rsidRPr="007E5ECF">
        <w:rPr>
          <w:szCs w:val="20"/>
        </w:rPr>
        <w:t>.</w:t>
      </w:r>
      <w:r>
        <w:rPr>
          <w:szCs w:val="20"/>
        </w:rPr>
        <w:t xml:space="preserve"> The observed number of services was similar to those expected,</w:t>
      </w:r>
      <w:r w:rsidRPr="009012F1">
        <w:rPr>
          <w:szCs w:val="20"/>
        </w:rPr>
        <w:t xml:space="preserve"> </w:t>
      </w:r>
      <w:r>
        <w:rPr>
          <w:szCs w:val="20"/>
        </w:rPr>
        <w:t xml:space="preserve">that is, less than 5% difference, for QLD (3% higher) and WA (0% difference) </w:t>
      </w:r>
      <w:bookmarkStart w:id="89" w:name="_Hlk83628155"/>
      <w:r w:rsidR="004F3E26" w:rsidRPr="004F3E26">
        <w:rPr>
          <w:szCs w:val="20"/>
        </w:rPr>
        <w:t>[Table B</w:t>
      </w:r>
      <w:r w:rsidR="004F3E26">
        <w:rPr>
          <w:szCs w:val="20"/>
        </w:rPr>
        <w:t>2</w:t>
      </w:r>
      <w:r w:rsidR="004F3E26" w:rsidRPr="004F3E26">
        <w:rPr>
          <w:szCs w:val="20"/>
        </w:rPr>
        <w:t xml:space="preserve">; Figure </w:t>
      </w:r>
      <w:r w:rsidR="004F3E26">
        <w:rPr>
          <w:szCs w:val="20"/>
        </w:rPr>
        <w:t>2.</w:t>
      </w:r>
      <w:bookmarkEnd w:id="89"/>
      <w:r w:rsidR="004F3E26" w:rsidRPr="004F3E26">
        <w:rPr>
          <w:szCs w:val="20"/>
        </w:rPr>
        <w:t>1</w:t>
      </w:r>
      <w:r w:rsidRPr="007E5ECF">
        <w:rPr>
          <w:szCs w:val="20"/>
        </w:rPr>
        <w:t>]</w:t>
      </w:r>
      <w:r>
        <w:rPr>
          <w:szCs w:val="20"/>
        </w:rPr>
        <w:t>. For each state/territory:</w:t>
      </w:r>
    </w:p>
    <w:p w14:paraId="268E077F" w14:textId="77777777" w:rsidR="00953160" w:rsidRPr="00B4767C" w:rsidRDefault="00953160" w:rsidP="00D14B60">
      <w:pPr>
        <w:pStyle w:val="ListParagraph"/>
        <w:numPr>
          <w:ilvl w:val="0"/>
          <w:numId w:val="6"/>
        </w:numPr>
        <w:spacing w:line="280" w:lineRule="atLeast"/>
        <w:ind w:left="714" w:hanging="357"/>
        <w:jc w:val="both"/>
        <w:rPr>
          <w:rFonts w:ascii="Century Gothic" w:hAnsi="Century Gothic"/>
          <w:sz w:val="20"/>
          <w:szCs w:val="20"/>
        </w:rPr>
      </w:pPr>
      <w:bookmarkStart w:id="90" w:name="_Hlk81479397"/>
      <w:r w:rsidRPr="00B4767C">
        <w:rPr>
          <w:rFonts w:ascii="Century Gothic" w:hAnsi="Century Gothic"/>
          <w:sz w:val="20"/>
          <w:szCs w:val="20"/>
        </w:rPr>
        <w:t xml:space="preserve">The observed number of services was </w:t>
      </w:r>
      <w:r w:rsidRPr="00953160">
        <w:rPr>
          <w:rFonts w:ascii="Century Gothic" w:hAnsi="Century Gothic"/>
          <w:noProof/>
          <w:color w:val="000000"/>
          <w:sz w:val="20"/>
          <w:szCs w:val="20"/>
        </w:rPr>
        <w:t>16% lower than expected for VIC/TAS, with 694 fewer services (3,762 services observed versus 4,456 services expected)</w:t>
      </w:r>
      <w:r w:rsidRPr="00B4767C">
        <w:rPr>
          <w:rFonts w:ascii="Century Gothic" w:hAnsi="Century Gothic"/>
          <w:sz w:val="20"/>
          <w:szCs w:val="20"/>
        </w:rPr>
        <w:t xml:space="preserve">; </w:t>
      </w:r>
      <w:r w:rsidRPr="00953160">
        <w:rPr>
          <w:rFonts w:ascii="Century Gothic" w:hAnsi="Century Gothic"/>
          <w:noProof/>
          <w:color w:val="000000"/>
          <w:sz w:val="20"/>
          <w:szCs w:val="20"/>
        </w:rPr>
        <w:t>5% lower than expected in NSW/ACT, with 314 fewer services (5,551 services observed versus 5,865 services expected); and 5% lower than expected for SA/NT, with 79 fewer services</w:t>
      </w:r>
      <w:r w:rsidRPr="00953160">
        <w:rPr>
          <w:rFonts w:ascii="Century Gothic" w:hAnsi="Century Gothic"/>
          <w:color w:val="000000"/>
          <w:sz w:val="20"/>
          <w:szCs w:val="20"/>
        </w:rPr>
        <w:t xml:space="preserve"> </w:t>
      </w:r>
      <w:r w:rsidRPr="00953160">
        <w:rPr>
          <w:rFonts w:ascii="Century Gothic" w:hAnsi="Century Gothic"/>
          <w:noProof/>
          <w:color w:val="000000"/>
          <w:sz w:val="20"/>
          <w:szCs w:val="20"/>
        </w:rPr>
        <w:t>(1,389 services observed versus 1,468 services expected)</w:t>
      </w:r>
      <w:r w:rsidRPr="00953160">
        <w:rPr>
          <w:rFonts w:ascii="Century Gothic" w:hAnsi="Century Gothic"/>
          <w:color w:val="000000"/>
          <w:sz w:val="20"/>
          <w:szCs w:val="20"/>
        </w:rPr>
        <w:t xml:space="preserve">. </w:t>
      </w:r>
      <w:r w:rsidRPr="00B4767C">
        <w:rPr>
          <w:rFonts w:ascii="Century Gothic" w:hAnsi="Century Gothic"/>
          <w:sz w:val="20"/>
          <w:szCs w:val="20"/>
        </w:rPr>
        <w:t xml:space="preserve">The observed number of services was similar to expected for QLD (3% higher), with 86 more services </w:t>
      </w:r>
      <w:r w:rsidRPr="00953160">
        <w:rPr>
          <w:rFonts w:ascii="Century Gothic" w:hAnsi="Century Gothic"/>
          <w:noProof/>
          <w:color w:val="000000"/>
          <w:sz w:val="20"/>
          <w:szCs w:val="20"/>
        </w:rPr>
        <w:t>(3,350 services observed versus 3,264 services expected</w:t>
      </w:r>
      <w:r w:rsidRPr="00B4767C">
        <w:rPr>
          <w:rFonts w:ascii="Century Gothic" w:hAnsi="Century Gothic"/>
          <w:sz w:val="20"/>
          <w:szCs w:val="20"/>
        </w:rPr>
        <w:t xml:space="preserve">); and WA (0% lower), with 1 fewer service </w:t>
      </w:r>
      <w:r w:rsidRPr="00953160">
        <w:rPr>
          <w:rFonts w:ascii="Century Gothic" w:hAnsi="Century Gothic"/>
          <w:noProof/>
          <w:color w:val="000000"/>
          <w:sz w:val="20"/>
          <w:szCs w:val="20"/>
        </w:rPr>
        <w:t>(1,813 services observed versus 1,814 services expected</w:t>
      </w:r>
      <w:r w:rsidRPr="00B4767C">
        <w:rPr>
          <w:rFonts w:ascii="Century Gothic" w:hAnsi="Century Gothic"/>
          <w:sz w:val="20"/>
          <w:szCs w:val="20"/>
        </w:rPr>
        <w:t xml:space="preserve">) </w:t>
      </w:r>
      <w:r w:rsidR="004F3E26" w:rsidRPr="004F3E26">
        <w:rPr>
          <w:rFonts w:ascii="Century Gothic" w:hAnsi="Century Gothic"/>
          <w:sz w:val="20"/>
          <w:szCs w:val="20"/>
        </w:rPr>
        <w:t>[Table B2; Figure 2.</w:t>
      </w:r>
      <w:r w:rsidR="004F3E26">
        <w:rPr>
          <w:rFonts w:ascii="Century Gothic" w:hAnsi="Century Gothic"/>
          <w:sz w:val="20"/>
          <w:szCs w:val="20"/>
        </w:rPr>
        <w:t>1</w:t>
      </w:r>
      <w:r w:rsidRPr="00B4767C">
        <w:rPr>
          <w:rFonts w:ascii="Century Gothic" w:hAnsi="Century Gothic"/>
          <w:sz w:val="20"/>
          <w:szCs w:val="20"/>
        </w:rPr>
        <w:t>].</w:t>
      </w:r>
      <w:bookmarkEnd w:id="90"/>
    </w:p>
    <w:bookmarkEnd w:id="87"/>
    <w:p w14:paraId="31C2529A" w14:textId="77777777" w:rsidR="00C122FC" w:rsidRPr="00953160" w:rsidRDefault="00953160" w:rsidP="00D14B60">
      <w:pPr>
        <w:rPr>
          <w:szCs w:val="20"/>
        </w:rPr>
      </w:pPr>
      <w:r>
        <w:rPr>
          <w:szCs w:val="20"/>
        </w:rPr>
        <w:t xml:space="preserve">The observed and expected number of surgical </w:t>
      </w:r>
      <w:r w:rsidRPr="007418F5">
        <w:rPr>
          <w:szCs w:val="20"/>
        </w:rPr>
        <w:t>therapeutic services</w:t>
      </w:r>
      <w:r>
        <w:rPr>
          <w:szCs w:val="20"/>
        </w:rPr>
        <w:t xml:space="preserve"> related to breast cancer for 2020 for each state and territory are provided in Appendix </w:t>
      </w:r>
      <w:r w:rsidR="004F3E26">
        <w:rPr>
          <w:szCs w:val="20"/>
        </w:rPr>
        <w:t>Table B2</w:t>
      </w:r>
      <w:r w:rsidRPr="00395B12">
        <w:rPr>
          <w:szCs w:val="20"/>
        </w:rPr>
        <w:t>.</w:t>
      </w:r>
    </w:p>
    <w:p w14:paraId="06E7B205" w14:textId="1B2E3EF8" w:rsidR="00D1758D" w:rsidRDefault="00914671" w:rsidP="00D1758D">
      <w:pPr>
        <w:pStyle w:val="FigureName"/>
        <w:spacing w:before="480" w:after="200"/>
        <w:ind w:left="1077" w:hanging="1077"/>
      </w:pPr>
      <w:bookmarkStart w:id="91" w:name="_Ref79626282"/>
      <w:bookmarkStart w:id="92" w:name="_Toc515512631"/>
      <w:bookmarkStart w:id="93" w:name="_Toc227554717"/>
      <w:bookmarkStart w:id="94" w:name="_Toc83365209"/>
      <w:bookmarkStart w:id="95" w:name="_Toc83720986"/>
      <w:bookmarkStart w:id="96" w:name="_Hlk84946138"/>
      <w:r>
        <w:lastRenderedPageBreak/>
        <w:t>Figure 2.1</w:t>
      </w:r>
      <w:r>
        <w:tab/>
      </w:r>
      <w:bookmarkEnd w:id="91"/>
      <w:bookmarkEnd w:id="92"/>
      <w:bookmarkEnd w:id="93"/>
      <w:r w:rsidR="00D1758D" w:rsidRPr="005F6ED6">
        <w:t xml:space="preserve">Annual </w:t>
      </w:r>
      <w:r w:rsidR="00D1758D" w:rsidRPr="00D54BA6">
        <w:t>observed</w:t>
      </w:r>
      <w:r w:rsidR="00D1758D" w:rsidRPr="005F6ED6">
        <w:t xml:space="preserve"> and expected number of services for breast cancer-related </w:t>
      </w:r>
      <w:r w:rsidR="00D1758D">
        <w:t>therapeutic procedures</w:t>
      </w:r>
      <w:r w:rsidR="00D1758D" w:rsidRPr="005F6ED6">
        <w:t xml:space="preserve"> in 2020, by jurisdiction</w:t>
      </w:r>
      <w:bookmarkEnd w:id="94"/>
      <w:bookmarkEnd w:id="95"/>
    </w:p>
    <w:p w14:paraId="01A515A7" w14:textId="77777777" w:rsidR="00D1758D" w:rsidRDefault="00834120" w:rsidP="00D1758D">
      <w:pPr>
        <w:jc w:val="center"/>
        <w:rPr>
          <w:b/>
          <w:szCs w:val="20"/>
        </w:rPr>
      </w:pPr>
      <w:r w:rsidRPr="00D1758D">
        <w:rPr>
          <w:b/>
          <w:noProof/>
          <w:szCs w:val="20"/>
        </w:rPr>
        <w:drawing>
          <wp:inline distT="0" distB="0" distL="0" distR="0" wp14:anchorId="5E2C0E5E" wp14:editId="19D0AB6A">
            <wp:extent cx="4457700" cy="2819400"/>
            <wp:effectExtent l="0" t="0" r="0" b="0"/>
            <wp:docPr id="11" name="Picture 1" descr="The figure is a column graph depicting the number of therapeutic procedures related to breast cancer for each jurisdiction in 2020. Two bars are shown for each jurisdiction, one for the number of observed services and one for the number of expected services. The column bar for observed services is lower than the column bar for expected services for jurisdictions including NSW and ACT combined, VIC and TAS combined, and SA and NT combined. The column bar for observed services is higher than the column bar for expected services for QLD. The observed and expected number of services are considered similar for 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The figure is a column graph depicting the number of therapeutic procedures related to breast cancer for each jurisdiction in 2020. Two bars are shown for each jurisdiction, one for the number of observed services and one for the number of expected services. The column bar for observed services is lower than the column bar for expected services for jurisdictions including NSW and ACT combined, VIC and TAS combined, and SA and NT combined. The column bar for observed services is higher than the column bar for expected services for QLD. The observed and expected number of services are considered similar for W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57700" cy="2819400"/>
                    </a:xfrm>
                    <a:prstGeom prst="rect">
                      <a:avLst/>
                    </a:prstGeom>
                    <a:noFill/>
                    <a:ln>
                      <a:noFill/>
                    </a:ln>
                  </pic:spPr>
                </pic:pic>
              </a:graphicData>
            </a:graphic>
          </wp:inline>
        </w:drawing>
      </w:r>
    </w:p>
    <w:p w14:paraId="353C651C" w14:textId="77777777" w:rsidR="00D1758D" w:rsidRDefault="00D1758D" w:rsidP="00D1758D">
      <w:pPr>
        <w:pStyle w:val="Heading2"/>
        <w:tabs>
          <w:tab w:val="clear" w:pos="1572"/>
          <w:tab w:val="num" w:pos="709"/>
        </w:tabs>
        <w:ind w:left="709" w:hanging="709"/>
        <w:rPr>
          <w:kern w:val="32"/>
        </w:rPr>
      </w:pPr>
      <w:bookmarkStart w:id="97" w:name="_Toc84363190"/>
      <w:bookmarkEnd w:id="96"/>
      <w:r>
        <w:t>Colorectal cancer</w:t>
      </w:r>
      <w:bookmarkEnd w:id="97"/>
    </w:p>
    <w:p w14:paraId="68FFBAE9" w14:textId="77777777" w:rsidR="00953160" w:rsidRPr="002B331F" w:rsidRDefault="00953160" w:rsidP="00D14B60">
      <w:pPr>
        <w:rPr>
          <w:szCs w:val="20"/>
        </w:rPr>
      </w:pPr>
      <w:bookmarkStart w:id="98" w:name="_Hlk81844932"/>
      <w:r w:rsidRPr="007418F5">
        <w:rPr>
          <w:szCs w:val="20"/>
        </w:rPr>
        <w:t xml:space="preserve">A range of surgical therapeutic procedures are utilised for treatment of colorectal cancer and were examined in these analyses including resection of lesions, colectomy and hemicolectomy procedures, as well as abdominoperineal resections and anterior resections of the bowel. </w:t>
      </w:r>
      <w:r w:rsidRPr="002B331F">
        <w:rPr>
          <w:iCs/>
          <w:szCs w:val="20"/>
        </w:rPr>
        <w:t>As indicated in section 1.2, some early stage malignant polyps can be removed during the colonoscopy/ sigmoidoscopy procedure and may not require further or extended surgical procedures in relation to treatment of colorectal cancer, thus representing both a diagnostic procedure as well as a treatment procedure for early stage colorectal cancers</w:t>
      </w:r>
      <w:r>
        <w:rPr>
          <w:rStyle w:val="FootnoteReference"/>
          <w:iCs/>
          <w:szCs w:val="20"/>
        </w:rPr>
        <w:footnoteReference w:id="23"/>
      </w:r>
      <w:r>
        <w:rPr>
          <w:iCs/>
          <w:szCs w:val="20"/>
        </w:rPr>
        <w:t xml:space="preserve">. </w:t>
      </w:r>
    </w:p>
    <w:p w14:paraId="35B27CE3" w14:textId="42002E2B" w:rsidR="00953160" w:rsidRPr="00973BF3" w:rsidRDefault="00953160" w:rsidP="00D14B60">
      <w:pPr>
        <w:rPr>
          <w:szCs w:val="20"/>
        </w:rPr>
      </w:pPr>
      <w:bookmarkStart w:id="100" w:name="_Hlk81844967"/>
      <w:bookmarkEnd w:id="98"/>
      <w:r>
        <w:rPr>
          <w:szCs w:val="20"/>
        </w:rPr>
        <w:t xml:space="preserve">In 2020, the observed number of services </w:t>
      </w:r>
      <w:r w:rsidRPr="00973BF3">
        <w:rPr>
          <w:szCs w:val="20"/>
        </w:rPr>
        <w:t xml:space="preserve">nationally for </w:t>
      </w:r>
      <w:r>
        <w:rPr>
          <w:noProof/>
          <w:szCs w:val="20"/>
        </w:rPr>
        <w:t>surgical procedures</w:t>
      </w:r>
      <w:r w:rsidRPr="00973BF3">
        <w:rPr>
          <w:noProof/>
          <w:szCs w:val="20"/>
        </w:rPr>
        <w:t xml:space="preserve"> </w:t>
      </w:r>
      <w:r>
        <w:rPr>
          <w:noProof/>
          <w:szCs w:val="20"/>
        </w:rPr>
        <w:t xml:space="preserve">for colorectal cancer </w:t>
      </w:r>
      <w:r w:rsidRPr="00973BF3">
        <w:rPr>
          <w:szCs w:val="20"/>
        </w:rPr>
        <w:t xml:space="preserve">was </w:t>
      </w:r>
      <w:r w:rsidRPr="00D14B60">
        <w:rPr>
          <w:iCs/>
          <w:szCs w:val="20"/>
        </w:rPr>
        <w:t>similar</w:t>
      </w:r>
      <w:r w:rsidRPr="00973BF3">
        <w:rPr>
          <w:noProof/>
          <w:szCs w:val="20"/>
        </w:rPr>
        <w:t xml:space="preserve"> to expected</w:t>
      </w:r>
      <w:r>
        <w:rPr>
          <w:szCs w:val="20"/>
        </w:rPr>
        <w:t>, that is, less than 5% difference</w:t>
      </w:r>
      <w:r>
        <w:rPr>
          <w:noProof/>
          <w:szCs w:val="20"/>
        </w:rPr>
        <w:t xml:space="preserve"> </w:t>
      </w:r>
      <w:r>
        <w:rPr>
          <w:szCs w:val="20"/>
        </w:rPr>
        <w:t>(1% lower, with 151 fewer services</w:t>
      </w:r>
      <w:r>
        <w:rPr>
          <w:noProof/>
          <w:szCs w:val="20"/>
        </w:rPr>
        <w:t xml:space="preserve">; </w:t>
      </w:r>
      <w:r w:rsidRPr="00973BF3">
        <w:rPr>
          <w:noProof/>
          <w:szCs w:val="20"/>
        </w:rPr>
        <w:t>11,505</w:t>
      </w:r>
      <w:r>
        <w:rPr>
          <w:noProof/>
          <w:szCs w:val="20"/>
        </w:rPr>
        <w:t xml:space="preserve"> services observed versus </w:t>
      </w:r>
      <w:r w:rsidRPr="00973BF3">
        <w:rPr>
          <w:noProof/>
          <w:szCs w:val="20"/>
        </w:rPr>
        <w:t xml:space="preserve">11,656 </w:t>
      </w:r>
      <w:r>
        <w:rPr>
          <w:noProof/>
          <w:szCs w:val="20"/>
        </w:rPr>
        <w:t>services expected)</w:t>
      </w:r>
      <w:r>
        <w:t xml:space="preserve"> </w:t>
      </w:r>
      <w:r w:rsidR="00914671">
        <w:t>[</w:t>
      </w:r>
      <w:r w:rsidR="00914671" w:rsidRPr="0096072B">
        <w:fldChar w:fldCharType="begin"/>
      </w:r>
      <w:r w:rsidR="00914671" w:rsidRPr="0096072B">
        <w:instrText xml:space="preserve"> REF _Ref79624062 \h  \* MERGEFORMAT </w:instrText>
      </w:r>
      <w:r w:rsidR="00914671" w:rsidRPr="0096072B">
        <w:fldChar w:fldCharType="separate"/>
      </w:r>
      <w:r w:rsidR="00914671">
        <w:t xml:space="preserve">Table </w:t>
      </w:r>
      <w:r w:rsidR="00914671">
        <w:rPr>
          <w:noProof/>
        </w:rPr>
        <w:t>2</w:t>
      </w:r>
      <w:r w:rsidR="00914671" w:rsidRPr="0096072B">
        <w:fldChar w:fldCharType="end"/>
      </w:r>
      <w:r w:rsidR="00914671" w:rsidRPr="0096072B">
        <w:t xml:space="preserve">; </w:t>
      </w:r>
      <w:r w:rsidR="00914671">
        <w:t>Figure 2]</w:t>
      </w:r>
      <w:r w:rsidR="00914671" w:rsidRPr="0096072B">
        <w:rPr>
          <w:szCs w:val="20"/>
        </w:rPr>
        <w:t>.</w:t>
      </w:r>
    </w:p>
    <w:p w14:paraId="1B6DD268" w14:textId="77777777" w:rsidR="00953160" w:rsidRDefault="00953160" w:rsidP="00D14B60">
      <w:pPr>
        <w:rPr>
          <w:szCs w:val="20"/>
        </w:rPr>
      </w:pPr>
      <w:r w:rsidRPr="00973BF3">
        <w:rPr>
          <w:szCs w:val="20"/>
        </w:rPr>
        <w:t xml:space="preserve">The observed </w:t>
      </w:r>
      <w:r w:rsidRPr="00D14B60">
        <w:rPr>
          <w:iCs/>
          <w:szCs w:val="20"/>
        </w:rPr>
        <w:t>number</w:t>
      </w:r>
      <w:r w:rsidRPr="00973BF3">
        <w:rPr>
          <w:szCs w:val="20"/>
        </w:rPr>
        <w:t xml:space="preserve"> of </w:t>
      </w:r>
      <w:r>
        <w:rPr>
          <w:szCs w:val="20"/>
        </w:rPr>
        <w:t>services for 2020 was 11% lower than expected for WA and 5-6% higher than expected for SA/NT and QLD</w:t>
      </w:r>
      <w:r w:rsidRPr="00973BF3">
        <w:rPr>
          <w:szCs w:val="20"/>
        </w:rPr>
        <w:t xml:space="preserve">. </w:t>
      </w:r>
      <w:r w:rsidRPr="007E5ECF">
        <w:rPr>
          <w:szCs w:val="20"/>
        </w:rPr>
        <w:t xml:space="preserve">The observed number of services </w:t>
      </w:r>
      <w:r>
        <w:rPr>
          <w:szCs w:val="20"/>
        </w:rPr>
        <w:t>was</w:t>
      </w:r>
      <w:r w:rsidRPr="007E5ECF">
        <w:rPr>
          <w:szCs w:val="20"/>
        </w:rPr>
        <w:t xml:space="preserve"> similar to expected</w:t>
      </w:r>
      <w:r>
        <w:rPr>
          <w:szCs w:val="20"/>
        </w:rPr>
        <w:t xml:space="preserve"> </w:t>
      </w:r>
      <w:r w:rsidRPr="007E5ECF">
        <w:rPr>
          <w:szCs w:val="20"/>
        </w:rPr>
        <w:t xml:space="preserve">for </w:t>
      </w:r>
      <w:r>
        <w:rPr>
          <w:szCs w:val="20"/>
        </w:rPr>
        <w:t>NSW/ACT (3% lower) and VIC/TAS (2% lower)</w:t>
      </w:r>
      <w:r w:rsidRPr="007E5ECF">
        <w:rPr>
          <w:szCs w:val="20"/>
        </w:rPr>
        <w:t xml:space="preserve"> </w:t>
      </w:r>
      <w:r w:rsidR="00544365" w:rsidRPr="004F3E26">
        <w:rPr>
          <w:szCs w:val="20"/>
        </w:rPr>
        <w:t>[Table B</w:t>
      </w:r>
      <w:r w:rsidR="00544365">
        <w:rPr>
          <w:szCs w:val="20"/>
        </w:rPr>
        <w:t>2</w:t>
      </w:r>
      <w:r w:rsidR="00544365" w:rsidRPr="004F3E26">
        <w:rPr>
          <w:szCs w:val="20"/>
        </w:rPr>
        <w:t xml:space="preserve">; Figure </w:t>
      </w:r>
      <w:r w:rsidR="00544365">
        <w:rPr>
          <w:szCs w:val="20"/>
        </w:rPr>
        <w:t>2.2</w:t>
      </w:r>
      <w:r>
        <w:rPr>
          <w:szCs w:val="20"/>
        </w:rPr>
        <w:t>]</w:t>
      </w:r>
      <w:r w:rsidRPr="007E5ECF">
        <w:rPr>
          <w:szCs w:val="20"/>
        </w:rPr>
        <w:t>.</w:t>
      </w:r>
      <w:r w:rsidRPr="00973BF3">
        <w:rPr>
          <w:szCs w:val="20"/>
        </w:rPr>
        <w:t xml:space="preserve"> </w:t>
      </w:r>
      <w:r>
        <w:rPr>
          <w:szCs w:val="20"/>
        </w:rPr>
        <w:t>For each state/territory:</w:t>
      </w:r>
    </w:p>
    <w:p w14:paraId="5F2D8D43" w14:textId="77777777" w:rsidR="00953160" w:rsidRPr="00B4767C" w:rsidRDefault="00953160" w:rsidP="00D14B60">
      <w:pPr>
        <w:pStyle w:val="ListParagraph"/>
        <w:numPr>
          <w:ilvl w:val="0"/>
          <w:numId w:val="6"/>
        </w:numPr>
        <w:spacing w:line="280" w:lineRule="atLeast"/>
        <w:ind w:left="714" w:hanging="357"/>
        <w:jc w:val="both"/>
        <w:rPr>
          <w:rFonts w:ascii="Century Gothic" w:hAnsi="Century Gothic"/>
          <w:sz w:val="20"/>
          <w:szCs w:val="20"/>
        </w:rPr>
      </w:pPr>
      <w:bookmarkStart w:id="101" w:name="_Hlk81479998"/>
      <w:r w:rsidRPr="009F57E7">
        <w:rPr>
          <w:rFonts w:ascii="Century Gothic" w:hAnsi="Century Gothic"/>
          <w:sz w:val="20"/>
          <w:szCs w:val="20"/>
        </w:rPr>
        <w:t xml:space="preserve">The observed number of services was </w:t>
      </w:r>
      <w:r w:rsidRPr="00953160">
        <w:rPr>
          <w:rFonts w:ascii="Century Gothic" w:hAnsi="Century Gothic"/>
          <w:noProof/>
          <w:color w:val="000000"/>
          <w:sz w:val="20"/>
          <w:szCs w:val="20"/>
        </w:rPr>
        <w:t>11% lower than expected for WA, with 128 fewer services (1,006 services observed versus 1,134 services expected)</w:t>
      </w:r>
      <w:r w:rsidRPr="009F57E7">
        <w:rPr>
          <w:rFonts w:ascii="Century Gothic" w:hAnsi="Century Gothic"/>
          <w:sz w:val="20"/>
          <w:szCs w:val="20"/>
        </w:rPr>
        <w:t xml:space="preserve">; </w:t>
      </w:r>
      <w:r w:rsidRPr="00953160">
        <w:rPr>
          <w:rFonts w:ascii="Century Gothic" w:hAnsi="Century Gothic"/>
          <w:noProof/>
          <w:color w:val="000000"/>
          <w:sz w:val="20"/>
          <w:szCs w:val="20"/>
        </w:rPr>
        <w:t>6% higher than expected in QLD, with 141 more services (2,590 services observed versus 2,449 services expected); and</w:t>
      </w:r>
      <w:r w:rsidRPr="00953160">
        <w:rPr>
          <w:rFonts w:ascii="Century Gothic" w:hAnsi="Century Gothic"/>
          <w:color w:val="000000"/>
          <w:sz w:val="20"/>
          <w:szCs w:val="20"/>
        </w:rPr>
        <w:t xml:space="preserve"> </w:t>
      </w:r>
      <w:r w:rsidRPr="00953160">
        <w:rPr>
          <w:rFonts w:ascii="Century Gothic" w:hAnsi="Century Gothic"/>
          <w:noProof/>
          <w:color w:val="000000"/>
          <w:sz w:val="20"/>
          <w:szCs w:val="20"/>
        </w:rPr>
        <w:t>5% higher than expected in SA/NT, with 45 more services</w:t>
      </w:r>
      <w:r w:rsidRPr="00953160">
        <w:rPr>
          <w:rFonts w:ascii="Century Gothic" w:hAnsi="Century Gothic"/>
          <w:color w:val="000000"/>
          <w:sz w:val="20"/>
          <w:szCs w:val="20"/>
        </w:rPr>
        <w:t xml:space="preserve"> </w:t>
      </w:r>
      <w:r w:rsidRPr="00953160">
        <w:rPr>
          <w:rFonts w:ascii="Century Gothic" w:hAnsi="Century Gothic"/>
          <w:noProof/>
          <w:color w:val="000000"/>
          <w:sz w:val="20"/>
          <w:szCs w:val="20"/>
        </w:rPr>
        <w:t>(923 services observed versus 878 services expected)</w:t>
      </w:r>
      <w:r w:rsidRPr="00953160">
        <w:rPr>
          <w:rFonts w:ascii="Century Gothic" w:hAnsi="Century Gothic"/>
          <w:color w:val="000000"/>
          <w:sz w:val="20"/>
          <w:szCs w:val="20"/>
        </w:rPr>
        <w:t xml:space="preserve">. </w:t>
      </w:r>
      <w:r w:rsidRPr="009F57E7">
        <w:rPr>
          <w:rFonts w:ascii="Century Gothic" w:hAnsi="Century Gothic"/>
          <w:sz w:val="20"/>
          <w:szCs w:val="20"/>
        </w:rPr>
        <w:t xml:space="preserve">The observed number of services was similar to expected for NSW/ACT (3% lower), with 131 fewer services </w:t>
      </w:r>
      <w:r w:rsidRPr="00953160">
        <w:rPr>
          <w:rFonts w:ascii="Century Gothic" w:hAnsi="Century Gothic"/>
          <w:noProof/>
          <w:color w:val="000000"/>
          <w:sz w:val="20"/>
          <w:szCs w:val="20"/>
        </w:rPr>
        <w:t>(3,868 services observed versus 3,999 services expected</w:t>
      </w:r>
      <w:r w:rsidRPr="009F57E7">
        <w:rPr>
          <w:rFonts w:ascii="Century Gothic" w:hAnsi="Century Gothic"/>
          <w:sz w:val="20"/>
          <w:szCs w:val="20"/>
        </w:rPr>
        <w:t xml:space="preserve">); and VIC/TAS (2% lower), with 78 fewer services </w:t>
      </w:r>
      <w:r w:rsidRPr="00953160">
        <w:rPr>
          <w:rFonts w:ascii="Century Gothic" w:hAnsi="Century Gothic"/>
          <w:noProof/>
          <w:color w:val="000000"/>
          <w:sz w:val="20"/>
          <w:szCs w:val="20"/>
        </w:rPr>
        <w:t>(3,118 services observed versus 3,196 services expected</w:t>
      </w:r>
      <w:r w:rsidRPr="009F57E7">
        <w:rPr>
          <w:rFonts w:ascii="Century Gothic" w:hAnsi="Century Gothic"/>
          <w:sz w:val="20"/>
          <w:szCs w:val="20"/>
        </w:rPr>
        <w:t xml:space="preserve">) </w:t>
      </w:r>
      <w:r w:rsidR="00544365" w:rsidRPr="00544365">
        <w:rPr>
          <w:rFonts w:ascii="Century Gothic" w:hAnsi="Century Gothic"/>
          <w:sz w:val="20"/>
          <w:szCs w:val="20"/>
        </w:rPr>
        <w:t>[Table B2; Figure 2.</w:t>
      </w:r>
      <w:r w:rsidR="00544365">
        <w:rPr>
          <w:rFonts w:ascii="Century Gothic" w:hAnsi="Century Gothic"/>
          <w:sz w:val="20"/>
          <w:szCs w:val="20"/>
        </w:rPr>
        <w:t>2</w:t>
      </w:r>
      <w:r w:rsidRPr="009F57E7">
        <w:rPr>
          <w:rFonts w:ascii="Century Gothic" w:hAnsi="Century Gothic"/>
          <w:sz w:val="20"/>
          <w:szCs w:val="20"/>
        </w:rPr>
        <w:t>].</w:t>
      </w:r>
      <w:bookmarkEnd w:id="101"/>
    </w:p>
    <w:p w14:paraId="719126FE" w14:textId="77777777" w:rsidR="00D1758D" w:rsidRPr="00953160" w:rsidRDefault="00953160" w:rsidP="00D14B60">
      <w:pPr>
        <w:rPr>
          <w:szCs w:val="20"/>
        </w:rPr>
      </w:pPr>
      <w:r>
        <w:rPr>
          <w:szCs w:val="20"/>
        </w:rPr>
        <w:lastRenderedPageBreak/>
        <w:t xml:space="preserve">The observed and expected number of surgical procedures related to colorectal cancers for 2020 for </w:t>
      </w:r>
      <w:r w:rsidRPr="00D14B60">
        <w:rPr>
          <w:iCs/>
          <w:szCs w:val="20"/>
        </w:rPr>
        <w:t>each</w:t>
      </w:r>
      <w:r>
        <w:rPr>
          <w:szCs w:val="20"/>
        </w:rPr>
        <w:t xml:space="preserve"> state and territory are provided in Appendix </w:t>
      </w:r>
      <w:r w:rsidR="00544365">
        <w:rPr>
          <w:szCs w:val="20"/>
        </w:rPr>
        <w:t>Table B2</w:t>
      </w:r>
      <w:r w:rsidRPr="00395B12">
        <w:rPr>
          <w:szCs w:val="20"/>
        </w:rPr>
        <w:t>.</w:t>
      </w:r>
      <w:bookmarkEnd w:id="100"/>
    </w:p>
    <w:p w14:paraId="6891CE70" w14:textId="77863B1C" w:rsidR="00D1758D" w:rsidRDefault="00914671" w:rsidP="00D1758D">
      <w:pPr>
        <w:pStyle w:val="FigureName"/>
        <w:spacing w:before="480" w:after="200"/>
        <w:ind w:left="1077" w:hanging="1077"/>
      </w:pPr>
      <w:bookmarkStart w:id="102" w:name="_Ref79626333"/>
      <w:bookmarkStart w:id="103" w:name="_Toc83365210"/>
      <w:bookmarkStart w:id="104" w:name="_Toc83720987"/>
      <w:r>
        <w:t>Figure 2.2</w:t>
      </w:r>
      <w:r>
        <w:tab/>
      </w:r>
      <w:bookmarkEnd w:id="102"/>
      <w:r w:rsidR="00D1758D" w:rsidRPr="009E1AA4">
        <w:t xml:space="preserve">Annual observed and expected number of services for </w:t>
      </w:r>
      <w:r w:rsidR="00D1758D">
        <w:t>colorectal</w:t>
      </w:r>
      <w:r w:rsidR="00D1758D" w:rsidRPr="009E1AA4">
        <w:t xml:space="preserve"> cancer-related </w:t>
      </w:r>
      <w:r w:rsidR="00D1758D">
        <w:t>therapeutic procedures</w:t>
      </w:r>
      <w:r w:rsidR="00D1758D" w:rsidRPr="009E1AA4">
        <w:t xml:space="preserve"> in 2020, by jurisdiction</w:t>
      </w:r>
      <w:bookmarkEnd w:id="103"/>
      <w:bookmarkEnd w:id="104"/>
    </w:p>
    <w:p w14:paraId="3CA99BBE" w14:textId="77777777" w:rsidR="00D1758D" w:rsidRDefault="00834120" w:rsidP="00D1758D">
      <w:pPr>
        <w:jc w:val="center"/>
      </w:pPr>
      <w:r w:rsidRPr="005707F4">
        <w:rPr>
          <w:noProof/>
        </w:rPr>
        <w:drawing>
          <wp:inline distT="0" distB="0" distL="0" distR="0" wp14:anchorId="5D7F1FC7" wp14:editId="0EF29C74">
            <wp:extent cx="4457700" cy="2819400"/>
            <wp:effectExtent l="0" t="0" r="0" b="0"/>
            <wp:docPr id="12" name="Picture 1" descr="The figure is a column graph depicting the number of therapeutic procedures related to colorectal cancer for each jurisdiction in 2020. Two bars are shown for each jurisdiction, one for the number of observed services and one for the number of expected services. The column bar for observed services is lower than the column bar for expected services for WA. The column bar for observed services is higher than the column bar for expected services for jurisdictions including QLD and SA and NT combined. The observed and expected number of services are considered similar for jurisdictions including NSW and ACT combined and VIC and TAS comb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The figure is a column graph depicting the number of therapeutic procedures related to colorectal cancer for each jurisdiction in 2020. Two bars are shown for each jurisdiction, one for the number of observed services and one for the number of expected services. The column bar for observed services is lower than the column bar for expected services for WA. The column bar for observed services is higher than the column bar for expected services for jurisdictions including QLD and SA and NT combined. The observed and expected number of services are considered similar for jurisdictions including NSW and ACT combined and VIC and TAS combin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57700" cy="2819400"/>
                    </a:xfrm>
                    <a:prstGeom prst="rect">
                      <a:avLst/>
                    </a:prstGeom>
                    <a:noFill/>
                    <a:ln>
                      <a:noFill/>
                    </a:ln>
                  </pic:spPr>
                </pic:pic>
              </a:graphicData>
            </a:graphic>
          </wp:inline>
        </w:drawing>
      </w:r>
    </w:p>
    <w:p w14:paraId="51C8A7EE" w14:textId="77777777" w:rsidR="00D1758D" w:rsidRDefault="00D1758D" w:rsidP="00D1758D">
      <w:pPr>
        <w:pStyle w:val="Heading2"/>
        <w:tabs>
          <w:tab w:val="clear" w:pos="1572"/>
          <w:tab w:val="num" w:pos="709"/>
        </w:tabs>
        <w:ind w:left="709" w:hanging="709"/>
        <w:rPr>
          <w:kern w:val="32"/>
        </w:rPr>
      </w:pPr>
      <w:bookmarkStart w:id="105" w:name="_Toc84363191"/>
      <w:r>
        <w:t>Kidney cancer</w:t>
      </w:r>
      <w:bookmarkEnd w:id="105"/>
    </w:p>
    <w:p w14:paraId="19DF427C" w14:textId="77777777" w:rsidR="00953160" w:rsidRPr="00A05997" w:rsidRDefault="00953160" w:rsidP="00D14B60">
      <w:pPr>
        <w:rPr>
          <w:szCs w:val="20"/>
        </w:rPr>
      </w:pPr>
      <w:bookmarkStart w:id="106" w:name="_Hlk81846077"/>
      <w:r>
        <w:rPr>
          <w:szCs w:val="20"/>
        </w:rPr>
        <w:t xml:space="preserve">Surgical </w:t>
      </w:r>
      <w:r w:rsidRPr="00D14B60">
        <w:rPr>
          <w:iCs/>
          <w:szCs w:val="20"/>
        </w:rPr>
        <w:t>procedures</w:t>
      </w:r>
      <w:r>
        <w:rPr>
          <w:szCs w:val="20"/>
        </w:rPr>
        <w:t xml:space="preserve"> for the treatment of kidney cancers examined in these analyses included p</w:t>
      </w:r>
      <w:r w:rsidRPr="00A05997">
        <w:rPr>
          <w:szCs w:val="20"/>
        </w:rPr>
        <w:t xml:space="preserve">artial, complete or radical nephrectomy surgeries with </w:t>
      </w:r>
      <w:r w:rsidRPr="005865DD">
        <w:rPr>
          <w:i/>
          <w:szCs w:val="20"/>
        </w:rPr>
        <w:t>en</w:t>
      </w:r>
      <w:r>
        <w:rPr>
          <w:i/>
          <w:szCs w:val="20"/>
        </w:rPr>
        <w:t xml:space="preserve"> </w:t>
      </w:r>
      <w:r w:rsidRPr="005865DD">
        <w:rPr>
          <w:i/>
          <w:szCs w:val="20"/>
        </w:rPr>
        <w:t>bloc</w:t>
      </w:r>
      <w:r w:rsidRPr="00A05997">
        <w:rPr>
          <w:szCs w:val="20"/>
        </w:rPr>
        <w:t xml:space="preserve"> lymph node dissections (with or without adrenalectomy) and nephro-ureterectomy</w:t>
      </w:r>
      <w:r>
        <w:rPr>
          <w:szCs w:val="20"/>
        </w:rPr>
        <w:t xml:space="preserve"> procedures</w:t>
      </w:r>
      <w:r w:rsidRPr="00A05997">
        <w:rPr>
          <w:szCs w:val="20"/>
        </w:rPr>
        <w:t>.</w:t>
      </w:r>
      <w:r>
        <w:rPr>
          <w:szCs w:val="20"/>
        </w:rPr>
        <w:t xml:space="preserve"> </w:t>
      </w:r>
      <w:bookmarkEnd w:id="106"/>
    </w:p>
    <w:p w14:paraId="25064D8A" w14:textId="136B6868" w:rsidR="00953160" w:rsidRDefault="00953160" w:rsidP="00D14B60">
      <w:pPr>
        <w:rPr>
          <w:szCs w:val="20"/>
        </w:rPr>
      </w:pPr>
      <w:bookmarkStart w:id="107" w:name="_Hlk81846087"/>
      <w:r>
        <w:rPr>
          <w:szCs w:val="20"/>
        </w:rPr>
        <w:t xml:space="preserve">In 2020, the observed </w:t>
      </w:r>
      <w:r w:rsidRPr="00973BF3">
        <w:rPr>
          <w:szCs w:val="20"/>
        </w:rPr>
        <w:t xml:space="preserve">number of services nationally for </w:t>
      </w:r>
      <w:r w:rsidRPr="00973BF3">
        <w:rPr>
          <w:noProof/>
          <w:szCs w:val="20"/>
        </w:rPr>
        <w:t xml:space="preserve">kidney cancer-related </w:t>
      </w:r>
      <w:r>
        <w:rPr>
          <w:noProof/>
          <w:szCs w:val="20"/>
        </w:rPr>
        <w:t>surgical procedures</w:t>
      </w:r>
      <w:r w:rsidRPr="00973BF3">
        <w:rPr>
          <w:noProof/>
          <w:szCs w:val="20"/>
        </w:rPr>
        <w:t xml:space="preserve"> </w:t>
      </w:r>
      <w:r w:rsidRPr="00973BF3">
        <w:rPr>
          <w:szCs w:val="20"/>
        </w:rPr>
        <w:t xml:space="preserve">was </w:t>
      </w:r>
      <w:r>
        <w:rPr>
          <w:szCs w:val="20"/>
        </w:rPr>
        <w:t xml:space="preserve">similar to </w:t>
      </w:r>
      <w:r w:rsidRPr="00973BF3">
        <w:rPr>
          <w:noProof/>
          <w:szCs w:val="20"/>
        </w:rPr>
        <w:t>expected</w:t>
      </w:r>
      <w:r>
        <w:rPr>
          <w:noProof/>
          <w:szCs w:val="20"/>
        </w:rPr>
        <w:t>, that is, less than 5% difference</w:t>
      </w:r>
      <w:r w:rsidRPr="00973BF3">
        <w:rPr>
          <w:szCs w:val="20"/>
        </w:rPr>
        <w:t xml:space="preserve"> </w:t>
      </w:r>
      <w:r>
        <w:rPr>
          <w:szCs w:val="20"/>
        </w:rPr>
        <w:t xml:space="preserve">(3% lower, with 67 fewer services; </w:t>
      </w:r>
      <w:r w:rsidRPr="00973BF3">
        <w:rPr>
          <w:noProof/>
          <w:szCs w:val="20"/>
        </w:rPr>
        <w:t>2,451</w:t>
      </w:r>
      <w:r>
        <w:rPr>
          <w:noProof/>
          <w:szCs w:val="20"/>
        </w:rPr>
        <w:t xml:space="preserve"> services observed versus </w:t>
      </w:r>
      <w:r w:rsidRPr="00973BF3">
        <w:rPr>
          <w:noProof/>
          <w:szCs w:val="20"/>
        </w:rPr>
        <w:t>2,51</w:t>
      </w:r>
      <w:r>
        <w:rPr>
          <w:noProof/>
          <w:szCs w:val="20"/>
        </w:rPr>
        <w:t>8</w:t>
      </w:r>
      <w:r w:rsidRPr="00973BF3">
        <w:rPr>
          <w:noProof/>
          <w:szCs w:val="20"/>
        </w:rPr>
        <w:t xml:space="preserve"> </w:t>
      </w:r>
      <w:r>
        <w:rPr>
          <w:noProof/>
          <w:szCs w:val="20"/>
        </w:rPr>
        <w:t xml:space="preserve">services expected) </w:t>
      </w:r>
      <w:r w:rsidR="00914671">
        <w:t>[</w:t>
      </w:r>
      <w:r w:rsidR="00914671" w:rsidRPr="0096072B">
        <w:fldChar w:fldCharType="begin"/>
      </w:r>
      <w:r w:rsidR="00914671" w:rsidRPr="0096072B">
        <w:instrText xml:space="preserve"> REF _Ref79624062 \h  \* MERGEFORMAT </w:instrText>
      </w:r>
      <w:r w:rsidR="00914671" w:rsidRPr="0096072B">
        <w:fldChar w:fldCharType="separate"/>
      </w:r>
      <w:r w:rsidR="00914671">
        <w:t xml:space="preserve">Table </w:t>
      </w:r>
      <w:r w:rsidR="00914671">
        <w:rPr>
          <w:noProof/>
        </w:rPr>
        <w:t>2</w:t>
      </w:r>
      <w:r w:rsidR="00914671" w:rsidRPr="0096072B">
        <w:fldChar w:fldCharType="end"/>
      </w:r>
      <w:r w:rsidR="00914671" w:rsidRPr="0096072B">
        <w:t xml:space="preserve">; </w:t>
      </w:r>
      <w:r w:rsidR="00914671">
        <w:t>Figure 2]</w:t>
      </w:r>
      <w:r w:rsidR="00914671" w:rsidRPr="0096072B">
        <w:rPr>
          <w:szCs w:val="20"/>
        </w:rPr>
        <w:t>.</w:t>
      </w:r>
    </w:p>
    <w:p w14:paraId="7DD96D56" w14:textId="77777777" w:rsidR="00953160" w:rsidRDefault="00953160" w:rsidP="00D14B60">
      <w:pPr>
        <w:rPr>
          <w:szCs w:val="20"/>
        </w:rPr>
      </w:pPr>
      <w:r>
        <w:rPr>
          <w:szCs w:val="20"/>
          <w:lang w:eastAsia="en-AU"/>
        </w:rPr>
        <w:t>T</w:t>
      </w:r>
      <w:r w:rsidRPr="007947FF">
        <w:rPr>
          <w:szCs w:val="20"/>
          <w:lang w:eastAsia="en-AU"/>
        </w:rPr>
        <w:t xml:space="preserve">he observed number of </w:t>
      </w:r>
      <w:r>
        <w:rPr>
          <w:szCs w:val="20"/>
          <w:lang w:eastAsia="en-AU"/>
        </w:rPr>
        <w:t>services for 2020</w:t>
      </w:r>
      <w:r w:rsidRPr="007947FF">
        <w:rPr>
          <w:szCs w:val="20"/>
          <w:lang w:eastAsia="en-AU"/>
        </w:rPr>
        <w:t xml:space="preserve"> </w:t>
      </w:r>
      <w:r w:rsidRPr="006725F4">
        <w:rPr>
          <w:szCs w:val="20"/>
        </w:rPr>
        <w:t xml:space="preserve">were 11% lower than expected for </w:t>
      </w:r>
      <w:r>
        <w:rPr>
          <w:szCs w:val="20"/>
        </w:rPr>
        <w:t>VIC/TAS</w:t>
      </w:r>
      <w:r w:rsidRPr="006725F4">
        <w:rPr>
          <w:szCs w:val="20"/>
        </w:rPr>
        <w:t xml:space="preserve"> and 6% higher than expected for </w:t>
      </w:r>
      <w:r>
        <w:rPr>
          <w:szCs w:val="20"/>
        </w:rPr>
        <w:t>QLD</w:t>
      </w:r>
      <w:r>
        <w:rPr>
          <w:szCs w:val="20"/>
          <w:lang w:eastAsia="en-AU"/>
        </w:rPr>
        <w:t xml:space="preserve">. </w:t>
      </w:r>
      <w:r w:rsidRPr="006725F4">
        <w:rPr>
          <w:szCs w:val="20"/>
        </w:rPr>
        <w:t>The observed number of services</w:t>
      </w:r>
      <w:r w:rsidRPr="007947FF">
        <w:rPr>
          <w:szCs w:val="20"/>
          <w:lang w:eastAsia="en-AU"/>
        </w:rPr>
        <w:t xml:space="preserve"> was similar to that expected</w:t>
      </w:r>
      <w:r>
        <w:rPr>
          <w:szCs w:val="20"/>
          <w:lang w:eastAsia="en-AU"/>
        </w:rPr>
        <w:t xml:space="preserve"> for</w:t>
      </w:r>
      <w:r w:rsidRPr="007947FF">
        <w:rPr>
          <w:szCs w:val="20"/>
          <w:lang w:eastAsia="en-AU"/>
        </w:rPr>
        <w:t xml:space="preserve"> </w:t>
      </w:r>
      <w:r>
        <w:rPr>
          <w:szCs w:val="20"/>
          <w:lang w:eastAsia="en-AU"/>
        </w:rPr>
        <w:t>NSW/ACT (3% lower)</w:t>
      </w:r>
      <w:r w:rsidRPr="007947FF">
        <w:rPr>
          <w:szCs w:val="20"/>
          <w:lang w:eastAsia="en-AU"/>
        </w:rPr>
        <w:t xml:space="preserve">, </w:t>
      </w:r>
      <w:r>
        <w:rPr>
          <w:szCs w:val="20"/>
          <w:lang w:eastAsia="en-AU"/>
        </w:rPr>
        <w:t>SA/NT (1% higher)</w:t>
      </w:r>
      <w:r w:rsidRPr="007947FF">
        <w:rPr>
          <w:szCs w:val="20"/>
          <w:lang w:eastAsia="en-AU"/>
        </w:rPr>
        <w:t xml:space="preserve"> and </w:t>
      </w:r>
      <w:r>
        <w:rPr>
          <w:szCs w:val="20"/>
          <w:lang w:eastAsia="en-AU"/>
        </w:rPr>
        <w:t>WA (1% higher)</w:t>
      </w:r>
      <w:r w:rsidRPr="00973BF3">
        <w:rPr>
          <w:szCs w:val="20"/>
        </w:rPr>
        <w:t xml:space="preserve"> </w:t>
      </w:r>
      <w:r w:rsidR="00544365" w:rsidRPr="004F3E26">
        <w:rPr>
          <w:szCs w:val="20"/>
        </w:rPr>
        <w:t>[Table B</w:t>
      </w:r>
      <w:r w:rsidR="00544365">
        <w:rPr>
          <w:szCs w:val="20"/>
        </w:rPr>
        <w:t>2</w:t>
      </w:r>
      <w:r w:rsidR="00544365" w:rsidRPr="004F3E26">
        <w:rPr>
          <w:szCs w:val="20"/>
        </w:rPr>
        <w:t xml:space="preserve">; Figure </w:t>
      </w:r>
      <w:r w:rsidR="00544365">
        <w:rPr>
          <w:szCs w:val="20"/>
        </w:rPr>
        <w:t>2.3</w:t>
      </w:r>
      <w:r>
        <w:rPr>
          <w:szCs w:val="20"/>
        </w:rPr>
        <w:t>]</w:t>
      </w:r>
      <w:r w:rsidRPr="006725F4">
        <w:rPr>
          <w:szCs w:val="20"/>
        </w:rPr>
        <w:t>.</w:t>
      </w:r>
      <w:r>
        <w:rPr>
          <w:szCs w:val="20"/>
        </w:rPr>
        <w:t xml:space="preserve"> For each state/territory:</w:t>
      </w:r>
    </w:p>
    <w:p w14:paraId="19448404" w14:textId="77777777" w:rsidR="00953160" w:rsidRPr="00B4767C" w:rsidRDefault="00953160" w:rsidP="00D14B60">
      <w:pPr>
        <w:pStyle w:val="ListParagraph"/>
        <w:numPr>
          <w:ilvl w:val="0"/>
          <w:numId w:val="6"/>
        </w:numPr>
        <w:spacing w:line="280" w:lineRule="atLeast"/>
        <w:ind w:left="714" w:hanging="357"/>
        <w:jc w:val="both"/>
        <w:rPr>
          <w:rFonts w:ascii="Century Gothic" w:hAnsi="Century Gothic"/>
          <w:sz w:val="20"/>
          <w:szCs w:val="20"/>
        </w:rPr>
      </w:pPr>
      <w:bookmarkStart w:id="108" w:name="_Hlk81480929"/>
      <w:r w:rsidRPr="00B4767C">
        <w:rPr>
          <w:rFonts w:ascii="Century Gothic" w:hAnsi="Century Gothic"/>
          <w:sz w:val="20"/>
          <w:szCs w:val="20"/>
        </w:rPr>
        <w:t xml:space="preserve">The observed number of services was </w:t>
      </w:r>
      <w:r w:rsidRPr="00953160">
        <w:rPr>
          <w:rFonts w:ascii="Century Gothic" w:hAnsi="Century Gothic"/>
          <w:noProof/>
          <w:color w:val="000000"/>
          <w:sz w:val="20"/>
          <w:szCs w:val="20"/>
        </w:rPr>
        <w:t>11% lower than expected for VIC/TAS, with 73 fewer services (619 services observed versus 692 services expected);</w:t>
      </w:r>
      <w:r w:rsidRPr="00B4767C">
        <w:rPr>
          <w:rFonts w:ascii="Century Gothic" w:hAnsi="Century Gothic"/>
          <w:sz w:val="20"/>
          <w:szCs w:val="20"/>
        </w:rPr>
        <w:t xml:space="preserve"> and 6</w:t>
      </w:r>
      <w:r w:rsidRPr="00953160">
        <w:rPr>
          <w:rFonts w:ascii="Century Gothic" w:hAnsi="Century Gothic"/>
          <w:noProof/>
          <w:color w:val="000000"/>
          <w:sz w:val="20"/>
          <w:szCs w:val="20"/>
        </w:rPr>
        <w:t>% higher than expected for QLD, with 27 more services (461 services observed versus 434 services expected)</w:t>
      </w:r>
      <w:r w:rsidRPr="00953160">
        <w:rPr>
          <w:rFonts w:ascii="Century Gothic" w:hAnsi="Century Gothic"/>
          <w:color w:val="000000"/>
          <w:sz w:val="20"/>
          <w:szCs w:val="20"/>
        </w:rPr>
        <w:t xml:space="preserve">. </w:t>
      </w:r>
      <w:r w:rsidRPr="00B4767C">
        <w:rPr>
          <w:rFonts w:ascii="Century Gothic" w:hAnsi="Century Gothic"/>
          <w:sz w:val="20"/>
          <w:szCs w:val="20"/>
        </w:rPr>
        <w:t xml:space="preserve">The observed number of services was similar to expected for NSW/ACT (3% lower), with 27 </w:t>
      </w:r>
      <w:r w:rsidRPr="00D14B60">
        <w:rPr>
          <w:rFonts w:ascii="Century Gothic" w:hAnsi="Century Gothic"/>
          <w:noProof/>
          <w:color w:val="000000"/>
          <w:sz w:val="20"/>
          <w:szCs w:val="20"/>
        </w:rPr>
        <w:t>fewer</w:t>
      </w:r>
      <w:r w:rsidRPr="00B4767C">
        <w:rPr>
          <w:rFonts w:ascii="Century Gothic" w:hAnsi="Century Gothic"/>
          <w:sz w:val="20"/>
          <w:szCs w:val="20"/>
        </w:rPr>
        <w:t xml:space="preserve"> services </w:t>
      </w:r>
      <w:r w:rsidRPr="00953160">
        <w:rPr>
          <w:rFonts w:ascii="Century Gothic" w:hAnsi="Century Gothic"/>
          <w:noProof/>
          <w:color w:val="000000"/>
          <w:sz w:val="20"/>
          <w:szCs w:val="20"/>
        </w:rPr>
        <w:t>(848 services observed versus 875 services expected</w:t>
      </w:r>
      <w:r w:rsidRPr="00B4767C">
        <w:rPr>
          <w:rFonts w:ascii="Century Gothic" w:hAnsi="Century Gothic"/>
          <w:sz w:val="20"/>
          <w:szCs w:val="20"/>
        </w:rPr>
        <w:t xml:space="preserve">); SA/NT (1% higher), with 2 more services </w:t>
      </w:r>
      <w:r w:rsidRPr="00953160">
        <w:rPr>
          <w:rFonts w:ascii="Century Gothic" w:hAnsi="Century Gothic"/>
          <w:noProof/>
          <w:color w:val="000000"/>
          <w:sz w:val="20"/>
          <w:szCs w:val="20"/>
        </w:rPr>
        <w:t>(223 services observed versus 221 services expected</w:t>
      </w:r>
      <w:r w:rsidRPr="00B4767C">
        <w:rPr>
          <w:rFonts w:ascii="Century Gothic" w:hAnsi="Century Gothic"/>
          <w:sz w:val="20"/>
          <w:szCs w:val="20"/>
        </w:rPr>
        <w:t xml:space="preserve">); and WA (1% higher), with 4 more services </w:t>
      </w:r>
      <w:r w:rsidRPr="00953160">
        <w:rPr>
          <w:rFonts w:ascii="Century Gothic" w:hAnsi="Century Gothic"/>
          <w:noProof/>
          <w:color w:val="000000"/>
          <w:sz w:val="20"/>
          <w:szCs w:val="20"/>
        </w:rPr>
        <w:t>(300 services observed versus 296 services expected</w:t>
      </w:r>
      <w:r w:rsidRPr="00B4767C">
        <w:rPr>
          <w:rFonts w:ascii="Century Gothic" w:hAnsi="Century Gothic"/>
          <w:sz w:val="20"/>
          <w:szCs w:val="20"/>
        </w:rPr>
        <w:t xml:space="preserve">) </w:t>
      </w:r>
      <w:r w:rsidR="00544365" w:rsidRPr="00544365">
        <w:rPr>
          <w:rFonts w:ascii="Century Gothic" w:hAnsi="Century Gothic"/>
          <w:sz w:val="20"/>
          <w:szCs w:val="20"/>
        </w:rPr>
        <w:t>[Table B2; Figure 2.</w:t>
      </w:r>
      <w:r w:rsidR="00544365">
        <w:rPr>
          <w:rFonts w:ascii="Century Gothic" w:hAnsi="Century Gothic"/>
          <w:sz w:val="20"/>
          <w:szCs w:val="20"/>
        </w:rPr>
        <w:t>3</w:t>
      </w:r>
      <w:r w:rsidRPr="00B4767C">
        <w:rPr>
          <w:rFonts w:ascii="Century Gothic" w:hAnsi="Century Gothic"/>
          <w:sz w:val="20"/>
          <w:szCs w:val="20"/>
        </w:rPr>
        <w:t>].</w:t>
      </w:r>
      <w:bookmarkEnd w:id="108"/>
    </w:p>
    <w:bookmarkEnd w:id="107"/>
    <w:p w14:paraId="74894605" w14:textId="07664C2A" w:rsidR="00D1758D" w:rsidRPr="00953160" w:rsidRDefault="00953160" w:rsidP="00D14B60">
      <w:pPr>
        <w:rPr>
          <w:szCs w:val="20"/>
        </w:rPr>
      </w:pPr>
      <w:r>
        <w:rPr>
          <w:szCs w:val="20"/>
        </w:rPr>
        <w:t xml:space="preserve">The </w:t>
      </w:r>
      <w:r w:rsidRPr="00D14B60">
        <w:rPr>
          <w:iCs/>
          <w:szCs w:val="20"/>
        </w:rPr>
        <w:t>observed</w:t>
      </w:r>
      <w:r>
        <w:rPr>
          <w:szCs w:val="20"/>
        </w:rPr>
        <w:t xml:space="preserve"> and expected number of therapeutic services related to kidney cancer for 2020 for each state and territory are provided in Appendix</w:t>
      </w:r>
      <w:r w:rsidR="00544365">
        <w:rPr>
          <w:szCs w:val="20"/>
        </w:rPr>
        <w:t xml:space="preserve"> Table B2</w:t>
      </w:r>
      <w:r>
        <w:rPr>
          <w:szCs w:val="20"/>
        </w:rPr>
        <w:fldChar w:fldCharType="begin"/>
      </w:r>
      <w:r>
        <w:rPr>
          <w:szCs w:val="20"/>
        </w:rPr>
        <w:instrText xml:space="preserve"> REF _Ref79626257 \h  \* MERGEFORMAT </w:instrText>
      </w:r>
      <w:r>
        <w:rPr>
          <w:szCs w:val="20"/>
        </w:rPr>
      </w:r>
      <w:r>
        <w:rPr>
          <w:szCs w:val="20"/>
        </w:rPr>
        <w:fldChar w:fldCharType="separate"/>
      </w:r>
      <w:r w:rsidR="00533EE6">
        <w:t xml:space="preserve">Table </w:t>
      </w:r>
      <w:r>
        <w:rPr>
          <w:szCs w:val="20"/>
        </w:rPr>
        <w:fldChar w:fldCharType="end"/>
      </w:r>
      <w:r w:rsidRPr="00395B12">
        <w:rPr>
          <w:szCs w:val="20"/>
        </w:rPr>
        <w:t>.</w:t>
      </w:r>
    </w:p>
    <w:p w14:paraId="51503357" w14:textId="017AAA6B" w:rsidR="00517B20" w:rsidRDefault="00914671" w:rsidP="00517B20">
      <w:pPr>
        <w:pStyle w:val="FigureName"/>
        <w:spacing w:before="480" w:after="200"/>
        <w:ind w:left="1077" w:hanging="1077"/>
      </w:pPr>
      <w:bookmarkStart w:id="109" w:name="_Ref79626706"/>
      <w:bookmarkStart w:id="110" w:name="_Toc83365211"/>
      <w:bookmarkStart w:id="111" w:name="_Toc83720988"/>
      <w:bookmarkStart w:id="112" w:name="_Hlk83621884"/>
      <w:bookmarkStart w:id="113" w:name="_Hlk84946160"/>
      <w:r>
        <w:lastRenderedPageBreak/>
        <w:t>Figure 2.3</w:t>
      </w:r>
      <w:r>
        <w:tab/>
      </w:r>
      <w:bookmarkEnd w:id="109"/>
      <w:r w:rsidR="00517B20">
        <w:tab/>
      </w:r>
      <w:r w:rsidR="00517B20" w:rsidRPr="00184208">
        <w:t xml:space="preserve">Annual observed and expected number of services for </w:t>
      </w:r>
      <w:r w:rsidR="00517B20">
        <w:t>kidney</w:t>
      </w:r>
      <w:r w:rsidR="00517B20" w:rsidRPr="00184208">
        <w:t xml:space="preserve"> cancer-related </w:t>
      </w:r>
      <w:r w:rsidR="00517B20">
        <w:t>therapeutic procedures</w:t>
      </w:r>
      <w:r w:rsidR="00517B20" w:rsidRPr="00184208">
        <w:t xml:space="preserve"> in 2020, by jurisdiction</w:t>
      </w:r>
      <w:bookmarkEnd w:id="110"/>
      <w:bookmarkEnd w:id="111"/>
    </w:p>
    <w:p w14:paraId="0CCE5E76" w14:textId="77777777" w:rsidR="00D1758D" w:rsidRDefault="00517B20" w:rsidP="00517B20">
      <w:pPr>
        <w:jc w:val="center"/>
        <w:rPr>
          <w:noProof/>
        </w:rPr>
      </w:pPr>
      <w:r w:rsidRPr="00797D8B">
        <w:rPr>
          <w:noProof/>
        </w:rPr>
        <w:t xml:space="preserve"> </w:t>
      </w:r>
      <w:r w:rsidR="00834120" w:rsidRPr="00517B20">
        <w:rPr>
          <w:b/>
          <w:noProof/>
          <w:szCs w:val="20"/>
        </w:rPr>
        <w:drawing>
          <wp:inline distT="0" distB="0" distL="0" distR="0" wp14:anchorId="34D5059E" wp14:editId="05DA0716">
            <wp:extent cx="4457700" cy="2819400"/>
            <wp:effectExtent l="0" t="0" r="0" b="0"/>
            <wp:docPr id="13" name="Picture 1" descr="The figure is a column graph depicting the number of therapeutic procedures related to kidney cancer for each jurisdiction in 2020. Two bars are shown for each jurisdiction, one for the number of observed services and one for the number of expected services. The column bar for observed services is lower than the column bar for expected services for VIC and TAS combined. The column bar for observed services is higher than the column bar for expected services for QLD. The observed and expected number of services are considered similar for jurisdictions including NSW and ACT combined, SA and NT combined and 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The figure is a column graph depicting the number of therapeutic procedures related to kidney cancer for each jurisdiction in 2020. Two bars are shown for each jurisdiction, one for the number of observed services and one for the number of expected services. The column bar for observed services is lower than the column bar for expected services for VIC and TAS combined. The column bar for observed services is higher than the column bar for expected services for QLD. The observed and expected number of services are considered similar for jurisdictions including NSW and ACT combined, SA and NT combined and W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57700" cy="2819400"/>
                    </a:xfrm>
                    <a:prstGeom prst="rect">
                      <a:avLst/>
                    </a:prstGeom>
                    <a:noFill/>
                    <a:ln>
                      <a:noFill/>
                    </a:ln>
                  </pic:spPr>
                </pic:pic>
              </a:graphicData>
            </a:graphic>
          </wp:inline>
        </w:drawing>
      </w:r>
      <w:bookmarkEnd w:id="112"/>
    </w:p>
    <w:p w14:paraId="640A7DC7" w14:textId="77777777" w:rsidR="00D1758D" w:rsidRDefault="00D1758D" w:rsidP="00D1758D">
      <w:pPr>
        <w:pStyle w:val="Heading2"/>
        <w:tabs>
          <w:tab w:val="clear" w:pos="1572"/>
          <w:tab w:val="num" w:pos="709"/>
        </w:tabs>
        <w:ind w:left="709" w:hanging="709"/>
        <w:rPr>
          <w:kern w:val="32"/>
        </w:rPr>
      </w:pPr>
      <w:bookmarkStart w:id="114" w:name="_Toc84363192"/>
      <w:bookmarkEnd w:id="113"/>
      <w:r>
        <w:t>Liver cancer</w:t>
      </w:r>
      <w:bookmarkEnd w:id="114"/>
    </w:p>
    <w:p w14:paraId="01881BE1" w14:textId="77777777" w:rsidR="00953160" w:rsidRPr="00DA7A8E" w:rsidRDefault="00953160" w:rsidP="00D14B60">
      <w:pPr>
        <w:rPr>
          <w:szCs w:val="20"/>
        </w:rPr>
      </w:pPr>
      <w:bookmarkStart w:id="115" w:name="_Hlk81846138"/>
      <w:r w:rsidRPr="00DA7A8E">
        <w:rPr>
          <w:szCs w:val="20"/>
        </w:rPr>
        <w:t xml:space="preserve">A range of procedures is used in the treatment of </w:t>
      </w:r>
      <w:r>
        <w:rPr>
          <w:szCs w:val="20"/>
        </w:rPr>
        <w:t>liver</w:t>
      </w:r>
      <w:r w:rsidRPr="00DA7A8E">
        <w:rPr>
          <w:szCs w:val="20"/>
        </w:rPr>
        <w:t xml:space="preserve"> cancer, including both surgical and non-</w:t>
      </w:r>
      <w:r w:rsidRPr="00D14B60">
        <w:rPr>
          <w:iCs/>
          <w:szCs w:val="20"/>
        </w:rPr>
        <w:t>surgical</w:t>
      </w:r>
      <w:r w:rsidRPr="00DA7A8E">
        <w:rPr>
          <w:szCs w:val="20"/>
        </w:rPr>
        <w:t xml:space="preserve"> procedures (including ablative procedures</w:t>
      </w:r>
      <w:r>
        <w:rPr>
          <w:szCs w:val="20"/>
        </w:rPr>
        <w:t>)</w:t>
      </w:r>
      <w:r w:rsidRPr="00DA7A8E">
        <w:rPr>
          <w:szCs w:val="20"/>
        </w:rPr>
        <w:t xml:space="preserve">. </w:t>
      </w:r>
      <w:r>
        <w:rPr>
          <w:szCs w:val="20"/>
        </w:rPr>
        <w:t xml:space="preserve">Liver </w:t>
      </w:r>
      <w:r w:rsidRPr="00DA7A8E">
        <w:rPr>
          <w:szCs w:val="20"/>
        </w:rPr>
        <w:t xml:space="preserve">cancer-related surgical procedures </w:t>
      </w:r>
      <w:r>
        <w:rPr>
          <w:szCs w:val="20"/>
        </w:rPr>
        <w:t xml:space="preserve">examined in these analyses included lobectomy </w:t>
      </w:r>
      <w:r w:rsidRPr="00DA7A8E">
        <w:rPr>
          <w:szCs w:val="20"/>
        </w:rPr>
        <w:t xml:space="preserve">(i.e. removal of </w:t>
      </w:r>
      <w:r>
        <w:rPr>
          <w:szCs w:val="20"/>
        </w:rPr>
        <w:t>a lobe of the liver</w:t>
      </w:r>
      <w:r w:rsidRPr="00DA7A8E">
        <w:rPr>
          <w:szCs w:val="20"/>
        </w:rPr>
        <w:t xml:space="preserve">), </w:t>
      </w:r>
      <w:r>
        <w:rPr>
          <w:szCs w:val="20"/>
        </w:rPr>
        <w:t>or segmental/ subsegmental liver resection</w:t>
      </w:r>
      <w:r w:rsidRPr="00DA7A8E">
        <w:rPr>
          <w:szCs w:val="20"/>
        </w:rPr>
        <w:t xml:space="preserve"> procedures</w:t>
      </w:r>
      <w:r>
        <w:rPr>
          <w:szCs w:val="20"/>
        </w:rPr>
        <w:t xml:space="preserve"> as well </w:t>
      </w:r>
      <w:r w:rsidRPr="00DA7A8E">
        <w:rPr>
          <w:szCs w:val="20"/>
        </w:rPr>
        <w:t>liver ablation</w:t>
      </w:r>
      <w:r>
        <w:rPr>
          <w:szCs w:val="20"/>
        </w:rPr>
        <w:t xml:space="preserve"> procedures</w:t>
      </w:r>
      <w:r w:rsidRPr="00DA7A8E">
        <w:rPr>
          <w:szCs w:val="20"/>
        </w:rPr>
        <w:t>, which encompasses radiofrequency or microwave ablation of unresectable liver tumours.</w:t>
      </w:r>
      <w:r>
        <w:rPr>
          <w:szCs w:val="20"/>
        </w:rPr>
        <w:t xml:space="preserve"> </w:t>
      </w:r>
    </w:p>
    <w:p w14:paraId="5DA23F62" w14:textId="4A6121DF" w:rsidR="00953160" w:rsidRPr="00B31961" w:rsidRDefault="00953160" w:rsidP="00D14B60">
      <w:pPr>
        <w:rPr>
          <w:szCs w:val="20"/>
        </w:rPr>
      </w:pPr>
      <w:bookmarkStart w:id="116" w:name="_Hlk81846152"/>
      <w:bookmarkEnd w:id="115"/>
      <w:r>
        <w:rPr>
          <w:szCs w:val="20"/>
        </w:rPr>
        <w:t xml:space="preserve">In 2020, </w:t>
      </w:r>
      <w:r w:rsidRPr="00B31961">
        <w:rPr>
          <w:szCs w:val="20"/>
        </w:rPr>
        <w:t xml:space="preserve">the observed number of services nationally for </w:t>
      </w:r>
      <w:r w:rsidRPr="00B31961">
        <w:rPr>
          <w:noProof/>
          <w:szCs w:val="20"/>
        </w:rPr>
        <w:t xml:space="preserve">liver cancer-related </w:t>
      </w:r>
      <w:r>
        <w:rPr>
          <w:noProof/>
          <w:szCs w:val="20"/>
        </w:rPr>
        <w:t>therapeutic procedures</w:t>
      </w:r>
      <w:r w:rsidRPr="00B31961">
        <w:rPr>
          <w:noProof/>
          <w:szCs w:val="20"/>
        </w:rPr>
        <w:t xml:space="preserve"> </w:t>
      </w:r>
      <w:r w:rsidRPr="00D14B60">
        <w:rPr>
          <w:iCs/>
          <w:szCs w:val="20"/>
        </w:rPr>
        <w:t>was</w:t>
      </w:r>
      <w:r w:rsidRPr="00B31961">
        <w:rPr>
          <w:szCs w:val="20"/>
        </w:rPr>
        <w:t xml:space="preserve"> </w:t>
      </w:r>
      <w:r>
        <w:rPr>
          <w:szCs w:val="20"/>
        </w:rPr>
        <w:t xml:space="preserve">similar to expected, that is, less than 5% difference (4% higher, with 53 more services; </w:t>
      </w:r>
      <w:r w:rsidRPr="00B31961">
        <w:rPr>
          <w:noProof/>
          <w:szCs w:val="20"/>
        </w:rPr>
        <w:t>1,507</w:t>
      </w:r>
      <w:r>
        <w:rPr>
          <w:noProof/>
          <w:szCs w:val="20"/>
        </w:rPr>
        <w:t xml:space="preserve"> services observed versus </w:t>
      </w:r>
      <w:r w:rsidRPr="00B31961">
        <w:rPr>
          <w:noProof/>
          <w:szCs w:val="20"/>
        </w:rPr>
        <w:t xml:space="preserve">1,454 </w:t>
      </w:r>
      <w:r>
        <w:rPr>
          <w:noProof/>
          <w:szCs w:val="20"/>
        </w:rPr>
        <w:t xml:space="preserve">services expected) </w:t>
      </w:r>
      <w:r w:rsidR="00914671">
        <w:t>[</w:t>
      </w:r>
      <w:r w:rsidR="00914671" w:rsidRPr="0096072B">
        <w:fldChar w:fldCharType="begin"/>
      </w:r>
      <w:r w:rsidR="00914671" w:rsidRPr="0096072B">
        <w:instrText xml:space="preserve"> REF _Ref79624062 \h  \* MERGEFORMAT </w:instrText>
      </w:r>
      <w:r w:rsidR="00914671" w:rsidRPr="0096072B">
        <w:fldChar w:fldCharType="separate"/>
      </w:r>
      <w:r w:rsidR="00914671">
        <w:t xml:space="preserve">Table </w:t>
      </w:r>
      <w:r w:rsidR="00914671">
        <w:rPr>
          <w:noProof/>
        </w:rPr>
        <w:t>2</w:t>
      </w:r>
      <w:r w:rsidR="00914671" w:rsidRPr="0096072B">
        <w:fldChar w:fldCharType="end"/>
      </w:r>
      <w:r w:rsidR="00914671" w:rsidRPr="0096072B">
        <w:t xml:space="preserve">; </w:t>
      </w:r>
      <w:r w:rsidR="00914671">
        <w:t>Figure 2]</w:t>
      </w:r>
      <w:r w:rsidR="00914671" w:rsidRPr="0096072B">
        <w:rPr>
          <w:szCs w:val="20"/>
        </w:rPr>
        <w:t>.</w:t>
      </w:r>
    </w:p>
    <w:p w14:paraId="346678BB" w14:textId="77777777" w:rsidR="00953160" w:rsidRDefault="00953160" w:rsidP="00D14B60">
      <w:pPr>
        <w:rPr>
          <w:szCs w:val="20"/>
        </w:rPr>
      </w:pPr>
      <w:r w:rsidRPr="00B31961">
        <w:rPr>
          <w:szCs w:val="20"/>
        </w:rPr>
        <w:t xml:space="preserve">The observed number of </w:t>
      </w:r>
      <w:r>
        <w:rPr>
          <w:szCs w:val="20"/>
        </w:rPr>
        <w:t>services for 2020</w:t>
      </w:r>
      <w:r w:rsidRPr="00B31961">
        <w:rPr>
          <w:szCs w:val="20"/>
        </w:rPr>
        <w:t xml:space="preserve"> was higher than expected</w:t>
      </w:r>
      <w:r>
        <w:rPr>
          <w:szCs w:val="20"/>
        </w:rPr>
        <w:t xml:space="preserve"> for most jurisdictions.</w:t>
      </w:r>
      <w:r w:rsidRPr="00B31961">
        <w:rPr>
          <w:szCs w:val="20"/>
        </w:rPr>
        <w:t xml:space="preserve"> The observed </w:t>
      </w:r>
      <w:r w:rsidRPr="00D14B60">
        <w:rPr>
          <w:iCs/>
          <w:szCs w:val="20"/>
        </w:rPr>
        <w:t>number</w:t>
      </w:r>
      <w:r w:rsidRPr="00B31961">
        <w:rPr>
          <w:szCs w:val="20"/>
        </w:rPr>
        <w:t xml:space="preserve"> of services </w:t>
      </w:r>
      <w:r>
        <w:rPr>
          <w:szCs w:val="20"/>
        </w:rPr>
        <w:t>was</w:t>
      </w:r>
      <w:r w:rsidRPr="00B31961">
        <w:rPr>
          <w:szCs w:val="20"/>
        </w:rPr>
        <w:t xml:space="preserve"> 11</w:t>
      </w:r>
      <w:r>
        <w:t>–</w:t>
      </w:r>
      <w:r w:rsidRPr="00B31961">
        <w:rPr>
          <w:szCs w:val="20"/>
        </w:rPr>
        <w:t xml:space="preserve">22% </w:t>
      </w:r>
      <w:r>
        <w:rPr>
          <w:szCs w:val="20"/>
        </w:rPr>
        <w:t>higher than expected</w:t>
      </w:r>
      <w:r w:rsidRPr="00B31961">
        <w:rPr>
          <w:szCs w:val="20"/>
        </w:rPr>
        <w:t xml:space="preserve"> for </w:t>
      </w:r>
      <w:bookmarkStart w:id="117" w:name="_Hlk84948141"/>
      <w:r>
        <w:rPr>
          <w:szCs w:val="20"/>
        </w:rPr>
        <w:t>VIC/TAS</w:t>
      </w:r>
      <w:r w:rsidRPr="00B31961">
        <w:rPr>
          <w:szCs w:val="20"/>
        </w:rPr>
        <w:t xml:space="preserve">, </w:t>
      </w:r>
      <w:r>
        <w:rPr>
          <w:szCs w:val="20"/>
        </w:rPr>
        <w:t>SA/NT</w:t>
      </w:r>
      <w:r w:rsidRPr="00B31961">
        <w:rPr>
          <w:szCs w:val="20"/>
        </w:rPr>
        <w:t xml:space="preserve"> and </w:t>
      </w:r>
      <w:r>
        <w:rPr>
          <w:szCs w:val="20"/>
        </w:rPr>
        <w:t>WA</w:t>
      </w:r>
      <w:bookmarkEnd w:id="117"/>
      <w:r>
        <w:rPr>
          <w:szCs w:val="20"/>
        </w:rPr>
        <w:t>.</w:t>
      </w:r>
      <w:r w:rsidRPr="00B31961">
        <w:rPr>
          <w:szCs w:val="20"/>
        </w:rPr>
        <w:t xml:space="preserve"> The observed number of services </w:t>
      </w:r>
      <w:r>
        <w:rPr>
          <w:szCs w:val="20"/>
        </w:rPr>
        <w:t>was</w:t>
      </w:r>
      <w:r w:rsidRPr="00B31961">
        <w:rPr>
          <w:szCs w:val="20"/>
        </w:rPr>
        <w:t xml:space="preserve"> </w:t>
      </w:r>
      <w:r>
        <w:rPr>
          <w:szCs w:val="20"/>
        </w:rPr>
        <w:t>similar to those</w:t>
      </w:r>
      <w:r w:rsidRPr="00B31961">
        <w:rPr>
          <w:szCs w:val="20"/>
        </w:rPr>
        <w:t xml:space="preserve"> expected for </w:t>
      </w:r>
      <w:r>
        <w:rPr>
          <w:szCs w:val="20"/>
        </w:rPr>
        <w:t>NSW/ACT (4% lower)</w:t>
      </w:r>
      <w:r w:rsidRPr="00B31961">
        <w:rPr>
          <w:szCs w:val="20"/>
        </w:rPr>
        <w:t xml:space="preserve"> and </w:t>
      </w:r>
      <w:r>
        <w:rPr>
          <w:szCs w:val="20"/>
        </w:rPr>
        <w:t xml:space="preserve">QLD (4% lower) </w:t>
      </w:r>
      <w:r w:rsidR="00544365" w:rsidRPr="004F3E26">
        <w:rPr>
          <w:szCs w:val="20"/>
        </w:rPr>
        <w:t>[Table B</w:t>
      </w:r>
      <w:r w:rsidR="00544365">
        <w:rPr>
          <w:szCs w:val="20"/>
        </w:rPr>
        <w:t>2</w:t>
      </w:r>
      <w:r w:rsidR="00544365" w:rsidRPr="004F3E26">
        <w:rPr>
          <w:szCs w:val="20"/>
        </w:rPr>
        <w:t xml:space="preserve">; Figure </w:t>
      </w:r>
      <w:r w:rsidR="00544365">
        <w:rPr>
          <w:szCs w:val="20"/>
        </w:rPr>
        <w:t>2.4</w:t>
      </w:r>
      <w:r>
        <w:rPr>
          <w:szCs w:val="20"/>
        </w:rPr>
        <w:t>]</w:t>
      </w:r>
      <w:r w:rsidRPr="00B31961">
        <w:rPr>
          <w:szCs w:val="20"/>
        </w:rPr>
        <w:t xml:space="preserve">. </w:t>
      </w:r>
      <w:r>
        <w:rPr>
          <w:szCs w:val="20"/>
        </w:rPr>
        <w:t>For each state/territory:</w:t>
      </w:r>
    </w:p>
    <w:p w14:paraId="5A3272FA" w14:textId="77777777" w:rsidR="00953160" w:rsidRPr="00B4767C" w:rsidRDefault="00953160" w:rsidP="00D14B60">
      <w:pPr>
        <w:pStyle w:val="ListParagraph"/>
        <w:numPr>
          <w:ilvl w:val="0"/>
          <w:numId w:val="6"/>
        </w:numPr>
        <w:spacing w:line="280" w:lineRule="atLeast"/>
        <w:ind w:left="714" w:hanging="357"/>
        <w:jc w:val="both"/>
        <w:rPr>
          <w:rFonts w:ascii="Century Gothic" w:hAnsi="Century Gothic"/>
          <w:sz w:val="20"/>
          <w:szCs w:val="20"/>
        </w:rPr>
      </w:pPr>
      <w:bookmarkStart w:id="118" w:name="_Hlk81481218"/>
      <w:r w:rsidRPr="00B4767C">
        <w:rPr>
          <w:rFonts w:ascii="Century Gothic" w:hAnsi="Century Gothic"/>
          <w:sz w:val="20"/>
          <w:szCs w:val="20"/>
        </w:rPr>
        <w:t>The observed number of services was</w:t>
      </w:r>
      <w:r w:rsidRPr="00B4767C" w:rsidDel="00106F9A">
        <w:rPr>
          <w:rFonts w:ascii="Century Gothic" w:hAnsi="Century Gothic"/>
          <w:sz w:val="20"/>
          <w:szCs w:val="20"/>
        </w:rPr>
        <w:t xml:space="preserve"> </w:t>
      </w:r>
      <w:r w:rsidRPr="00953160">
        <w:rPr>
          <w:rFonts w:ascii="Century Gothic" w:hAnsi="Century Gothic"/>
          <w:noProof/>
          <w:color w:val="000000"/>
          <w:sz w:val="20"/>
          <w:szCs w:val="20"/>
        </w:rPr>
        <w:t>22% higher than expected for WA, with 28 more services (155 services observed versus 127 services expected)</w:t>
      </w:r>
      <w:r w:rsidRPr="00B4767C">
        <w:rPr>
          <w:rFonts w:ascii="Century Gothic" w:hAnsi="Century Gothic"/>
          <w:sz w:val="20"/>
          <w:szCs w:val="20"/>
        </w:rPr>
        <w:t>; 13</w:t>
      </w:r>
      <w:r w:rsidRPr="00953160">
        <w:rPr>
          <w:rFonts w:ascii="Century Gothic" w:hAnsi="Century Gothic"/>
          <w:noProof/>
          <w:color w:val="000000"/>
          <w:sz w:val="20"/>
          <w:szCs w:val="20"/>
        </w:rPr>
        <w:t>% higher than expected for VIC/TAS, with 50 more services (430 services observed versus 380 services expected); and</w:t>
      </w:r>
      <w:r w:rsidRPr="00953160">
        <w:rPr>
          <w:rFonts w:ascii="Century Gothic" w:hAnsi="Century Gothic"/>
          <w:color w:val="000000"/>
          <w:sz w:val="20"/>
          <w:szCs w:val="20"/>
        </w:rPr>
        <w:t xml:space="preserve"> </w:t>
      </w:r>
      <w:r w:rsidRPr="00953160">
        <w:rPr>
          <w:rFonts w:ascii="Century Gothic" w:hAnsi="Century Gothic"/>
          <w:noProof/>
          <w:color w:val="000000"/>
          <w:sz w:val="20"/>
          <w:szCs w:val="20"/>
        </w:rPr>
        <w:t>11% higher than expected for SA/NT, with 11 more services</w:t>
      </w:r>
      <w:r w:rsidRPr="00953160">
        <w:rPr>
          <w:rFonts w:ascii="Century Gothic" w:hAnsi="Century Gothic"/>
          <w:color w:val="000000"/>
          <w:sz w:val="20"/>
          <w:szCs w:val="20"/>
        </w:rPr>
        <w:t xml:space="preserve"> </w:t>
      </w:r>
      <w:r w:rsidRPr="00953160">
        <w:rPr>
          <w:rFonts w:ascii="Century Gothic" w:hAnsi="Century Gothic"/>
          <w:noProof/>
          <w:color w:val="000000"/>
          <w:sz w:val="20"/>
          <w:szCs w:val="20"/>
        </w:rPr>
        <w:t>(110 services observed versus 99 services expected)</w:t>
      </w:r>
      <w:r w:rsidRPr="00953160">
        <w:rPr>
          <w:rFonts w:ascii="Century Gothic" w:hAnsi="Century Gothic"/>
          <w:color w:val="000000"/>
          <w:sz w:val="20"/>
          <w:szCs w:val="20"/>
        </w:rPr>
        <w:t xml:space="preserve">. </w:t>
      </w:r>
      <w:r w:rsidRPr="00B4767C">
        <w:rPr>
          <w:rFonts w:ascii="Century Gothic" w:hAnsi="Century Gothic"/>
          <w:sz w:val="20"/>
          <w:szCs w:val="20"/>
        </w:rPr>
        <w:t xml:space="preserve">The observed number of services was similar to expected for NSW/ACT (4% lower), with 27 fewer services </w:t>
      </w:r>
      <w:r w:rsidRPr="00953160">
        <w:rPr>
          <w:rFonts w:ascii="Century Gothic" w:hAnsi="Century Gothic"/>
          <w:noProof/>
          <w:color w:val="000000"/>
          <w:sz w:val="20"/>
          <w:szCs w:val="20"/>
        </w:rPr>
        <w:t>(580 services observed versus 607 services expected</w:t>
      </w:r>
      <w:r w:rsidRPr="00B4767C">
        <w:rPr>
          <w:rFonts w:ascii="Century Gothic" w:hAnsi="Century Gothic"/>
          <w:sz w:val="20"/>
          <w:szCs w:val="20"/>
        </w:rPr>
        <w:t xml:space="preserve">); and QLD (4% lower), with 9 fewer services </w:t>
      </w:r>
      <w:r w:rsidRPr="00953160">
        <w:rPr>
          <w:rFonts w:ascii="Century Gothic" w:hAnsi="Century Gothic"/>
          <w:noProof/>
          <w:color w:val="000000"/>
          <w:sz w:val="20"/>
          <w:szCs w:val="20"/>
        </w:rPr>
        <w:t>(232 services observed versus 241 services expected</w:t>
      </w:r>
      <w:r w:rsidRPr="00B4767C">
        <w:rPr>
          <w:rFonts w:ascii="Century Gothic" w:hAnsi="Century Gothic"/>
          <w:sz w:val="20"/>
          <w:szCs w:val="20"/>
        </w:rPr>
        <w:t xml:space="preserve">) </w:t>
      </w:r>
      <w:r w:rsidR="00544365" w:rsidRPr="00544365">
        <w:rPr>
          <w:rFonts w:ascii="Century Gothic" w:hAnsi="Century Gothic"/>
          <w:sz w:val="20"/>
          <w:szCs w:val="20"/>
        </w:rPr>
        <w:t>[Table B2; Figure 2.</w:t>
      </w:r>
      <w:r w:rsidR="00544365">
        <w:rPr>
          <w:rFonts w:ascii="Century Gothic" w:hAnsi="Century Gothic"/>
          <w:sz w:val="20"/>
          <w:szCs w:val="20"/>
        </w:rPr>
        <w:t>4</w:t>
      </w:r>
      <w:r w:rsidRPr="00B4767C">
        <w:rPr>
          <w:rFonts w:ascii="Century Gothic" w:hAnsi="Century Gothic"/>
          <w:sz w:val="20"/>
          <w:szCs w:val="20"/>
        </w:rPr>
        <w:t>].</w:t>
      </w:r>
      <w:bookmarkEnd w:id="118"/>
    </w:p>
    <w:bookmarkEnd w:id="116"/>
    <w:p w14:paraId="5C71C0E1" w14:textId="77777777" w:rsidR="00D1758D" w:rsidRPr="00953160" w:rsidRDefault="00953160" w:rsidP="00D14B60">
      <w:pPr>
        <w:rPr>
          <w:szCs w:val="20"/>
        </w:rPr>
      </w:pPr>
      <w:r>
        <w:rPr>
          <w:szCs w:val="20"/>
        </w:rPr>
        <w:t xml:space="preserve">The observed and expected number of therapeutic services related to liver cancer for 2020 for each </w:t>
      </w:r>
      <w:r w:rsidRPr="00D14B60">
        <w:rPr>
          <w:iCs/>
          <w:szCs w:val="20"/>
        </w:rPr>
        <w:t>state</w:t>
      </w:r>
      <w:r>
        <w:rPr>
          <w:szCs w:val="20"/>
        </w:rPr>
        <w:t xml:space="preserve"> and territory are provided in Appendix </w:t>
      </w:r>
      <w:r w:rsidR="00544365">
        <w:rPr>
          <w:szCs w:val="20"/>
        </w:rPr>
        <w:t>Table B2</w:t>
      </w:r>
      <w:r w:rsidRPr="00395B12">
        <w:rPr>
          <w:szCs w:val="20"/>
        </w:rPr>
        <w:t>.</w:t>
      </w:r>
    </w:p>
    <w:p w14:paraId="13014C56" w14:textId="1CA31665" w:rsidR="00517B20" w:rsidRDefault="00914671" w:rsidP="00517B20">
      <w:pPr>
        <w:pStyle w:val="FigureName"/>
        <w:spacing w:before="480" w:after="200"/>
        <w:ind w:left="1077" w:hanging="1077"/>
      </w:pPr>
      <w:bookmarkStart w:id="119" w:name="_Ref79626738"/>
      <w:bookmarkStart w:id="120" w:name="_Toc83365212"/>
      <w:bookmarkStart w:id="121" w:name="_Toc83720989"/>
      <w:bookmarkStart w:id="122" w:name="_Hlk83621953"/>
      <w:r>
        <w:lastRenderedPageBreak/>
        <w:t>Figure 2.4</w:t>
      </w:r>
      <w:r>
        <w:tab/>
      </w:r>
      <w:bookmarkEnd w:id="119"/>
      <w:r w:rsidR="00517B20" w:rsidRPr="00DA2707">
        <w:t xml:space="preserve">Annual observed and expected number of services for </w:t>
      </w:r>
      <w:r w:rsidR="00517B20">
        <w:t>liver</w:t>
      </w:r>
      <w:r w:rsidR="00517B20" w:rsidRPr="00DA2707">
        <w:t xml:space="preserve"> cancer-related </w:t>
      </w:r>
      <w:r w:rsidR="00517B20">
        <w:t>therapeutic procedures</w:t>
      </w:r>
      <w:r w:rsidR="00517B20" w:rsidRPr="00DA2707">
        <w:t xml:space="preserve"> in 2020, by jurisdiction</w:t>
      </w:r>
      <w:bookmarkEnd w:id="120"/>
      <w:bookmarkEnd w:id="121"/>
    </w:p>
    <w:p w14:paraId="33DA357E" w14:textId="77777777" w:rsidR="00517B20" w:rsidRDefault="00517B20" w:rsidP="00517B20">
      <w:pPr>
        <w:jc w:val="center"/>
        <w:rPr>
          <w:b/>
          <w:szCs w:val="20"/>
        </w:rPr>
      </w:pPr>
      <w:r w:rsidRPr="00797D8B">
        <w:rPr>
          <w:noProof/>
        </w:rPr>
        <w:t xml:space="preserve"> </w:t>
      </w:r>
      <w:r w:rsidR="00834120" w:rsidRPr="00517B20">
        <w:rPr>
          <w:b/>
          <w:noProof/>
          <w:szCs w:val="20"/>
        </w:rPr>
        <w:drawing>
          <wp:inline distT="0" distB="0" distL="0" distR="0" wp14:anchorId="5BBC0BD6" wp14:editId="742FC0EB">
            <wp:extent cx="4457700" cy="2819400"/>
            <wp:effectExtent l="0" t="0" r="0" b="0"/>
            <wp:docPr id="14" name="Picture 1" descr="The figure is a column graph depicting the number of therapeutic procedures related to liver cancer for each jurisdiction in 2020. Two bars are shown for each jurisdiction, one for the number of observed services and one for the number of expected services. The column bar for observed services is higher than the column bar for expected services for jurisdictions including VIC and TAS combined, SA and NT combined and WA. The observed and expected number of services are considered similar for jurisdictions including NSW and ACT combined and Q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The figure is a column graph depicting the number of therapeutic procedures related to liver cancer for each jurisdiction in 2020. Two bars are shown for each jurisdiction, one for the number of observed services and one for the number of expected services. The column bar for observed services is higher than the column bar for expected services for jurisdictions including VIC and TAS combined, SA and NT combined and WA. The observed and expected number of services are considered similar for jurisdictions including NSW and ACT combined and QLD.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57700" cy="2819400"/>
                    </a:xfrm>
                    <a:prstGeom prst="rect">
                      <a:avLst/>
                    </a:prstGeom>
                    <a:noFill/>
                    <a:ln>
                      <a:noFill/>
                    </a:ln>
                  </pic:spPr>
                </pic:pic>
              </a:graphicData>
            </a:graphic>
          </wp:inline>
        </w:drawing>
      </w:r>
    </w:p>
    <w:bookmarkEnd w:id="122"/>
    <w:p w14:paraId="5542E9BB" w14:textId="77777777" w:rsidR="00D1758D" w:rsidRDefault="00D1758D" w:rsidP="00D1758D"/>
    <w:p w14:paraId="030D854D" w14:textId="77777777" w:rsidR="00D1758D" w:rsidRDefault="00D1758D" w:rsidP="00D1758D">
      <w:pPr>
        <w:pStyle w:val="Heading2"/>
        <w:tabs>
          <w:tab w:val="clear" w:pos="1572"/>
          <w:tab w:val="num" w:pos="709"/>
        </w:tabs>
        <w:ind w:left="709" w:hanging="709"/>
        <w:rPr>
          <w:kern w:val="32"/>
        </w:rPr>
      </w:pPr>
      <w:bookmarkStart w:id="123" w:name="_Toc84363193"/>
      <w:r>
        <w:t>Lung cancer</w:t>
      </w:r>
      <w:bookmarkEnd w:id="123"/>
    </w:p>
    <w:p w14:paraId="38BF90B2" w14:textId="77777777" w:rsidR="00953160" w:rsidRPr="00A9018F" w:rsidRDefault="00953160" w:rsidP="00D14B60">
      <w:pPr>
        <w:rPr>
          <w:szCs w:val="20"/>
        </w:rPr>
      </w:pPr>
      <w:bookmarkStart w:id="124" w:name="_Hlk81845048"/>
      <w:r w:rsidRPr="00A05889">
        <w:rPr>
          <w:szCs w:val="20"/>
        </w:rPr>
        <w:t>A range of lung-cancer related surgical procedures are utilised for treatment of lung cancer and were examined in theses analyses including lobectomies, segmentectomies, wedge resections, pneumonectomies and endobronchial laser resection procedures.</w:t>
      </w:r>
      <w:r w:rsidRPr="00A9018F">
        <w:rPr>
          <w:szCs w:val="20"/>
        </w:rPr>
        <w:t xml:space="preserve"> </w:t>
      </w:r>
      <w:bookmarkEnd w:id="124"/>
    </w:p>
    <w:p w14:paraId="281EDF93" w14:textId="15AE031C" w:rsidR="00953160" w:rsidRPr="00973BF3" w:rsidRDefault="00953160" w:rsidP="00D14B60">
      <w:pPr>
        <w:rPr>
          <w:szCs w:val="20"/>
        </w:rPr>
      </w:pPr>
      <w:bookmarkStart w:id="125" w:name="_Hlk81845062"/>
      <w:r>
        <w:rPr>
          <w:szCs w:val="20"/>
        </w:rPr>
        <w:t xml:space="preserve">In 2020, the observed number of services </w:t>
      </w:r>
      <w:r w:rsidRPr="00973BF3">
        <w:rPr>
          <w:szCs w:val="20"/>
        </w:rPr>
        <w:t xml:space="preserve">nationally for </w:t>
      </w:r>
      <w:r w:rsidRPr="00973BF3">
        <w:rPr>
          <w:noProof/>
          <w:szCs w:val="20"/>
        </w:rPr>
        <w:t xml:space="preserve">lung cancer-related </w:t>
      </w:r>
      <w:r>
        <w:rPr>
          <w:noProof/>
          <w:szCs w:val="20"/>
        </w:rPr>
        <w:t>surgeries</w:t>
      </w:r>
      <w:r w:rsidRPr="00973BF3">
        <w:rPr>
          <w:noProof/>
          <w:szCs w:val="20"/>
        </w:rPr>
        <w:t xml:space="preserve"> </w:t>
      </w:r>
      <w:r w:rsidRPr="00973BF3">
        <w:rPr>
          <w:szCs w:val="20"/>
        </w:rPr>
        <w:t xml:space="preserve">was </w:t>
      </w:r>
      <w:r w:rsidRPr="00973BF3">
        <w:rPr>
          <w:noProof/>
          <w:szCs w:val="20"/>
        </w:rPr>
        <w:t>similar to expected</w:t>
      </w:r>
      <w:r>
        <w:rPr>
          <w:noProof/>
          <w:szCs w:val="20"/>
        </w:rPr>
        <w:t xml:space="preserve">, that is, less than 5% difference </w:t>
      </w:r>
      <w:r>
        <w:rPr>
          <w:szCs w:val="20"/>
        </w:rPr>
        <w:t xml:space="preserve">(2% higher, with 68 more services; </w:t>
      </w:r>
      <w:r w:rsidRPr="00973BF3">
        <w:rPr>
          <w:noProof/>
          <w:szCs w:val="20"/>
        </w:rPr>
        <w:t>3,696</w:t>
      </w:r>
      <w:r>
        <w:rPr>
          <w:noProof/>
          <w:szCs w:val="20"/>
        </w:rPr>
        <w:t xml:space="preserve"> services </w:t>
      </w:r>
      <w:r w:rsidRPr="00D14B60">
        <w:rPr>
          <w:iCs/>
          <w:szCs w:val="20"/>
        </w:rPr>
        <w:t>observed</w:t>
      </w:r>
      <w:r>
        <w:rPr>
          <w:noProof/>
          <w:szCs w:val="20"/>
        </w:rPr>
        <w:t xml:space="preserve"> versus </w:t>
      </w:r>
      <w:r w:rsidRPr="00973BF3">
        <w:rPr>
          <w:noProof/>
          <w:szCs w:val="20"/>
        </w:rPr>
        <w:t xml:space="preserve">3,628 </w:t>
      </w:r>
      <w:r>
        <w:rPr>
          <w:noProof/>
          <w:szCs w:val="20"/>
        </w:rPr>
        <w:t>services expected)</w:t>
      </w:r>
      <w:r>
        <w:t xml:space="preserve"> </w:t>
      </w:r>
      <w:r w:rsidR="00914671">
        <w:t>[</w:t>
      </w:r>
      <w:r w:rsidR="00914671" w:rsidRPr="0096072B">
        <w:fldChar w:fldCharType="begin"/>
      </w:r>
      <w:r w:rsidR="00914671" w:rsidRPr="0096072B">
        <w:instrText xml:space="preserve"> REF _Ref79624062 \h  \* MERGEFORMAT </w:instrText>
      </w:r>
      <w:r w:rsidR="00914671" w:rsidRPr="0096072B">
        <w:fldChar w:fldCharType="separate"/>
      </w:r>
      <w:r w:rsidR="00914671">
        <w:t xml:space="preserve">Table </w:t>
      </w:r>
      <w:r w:rsidR="00914671">
        <w:rPr>
          <w:noProof/>
        </w:rPr>
        <w:t>2</w:t>
      </w:r>
      <w:r w:rsidR="00914671" w:rsidRPr="0096072B">
        <w:fldChar w:fldCharType="end"/>
      </w:r>
      <w:r w:rsidR="00914671" w:rsidRPr="0096072B">
        <w:t xml:space="preserve">; </w:t>
      </w:r>
      <w:r w:rsidR="00914671">
        <w:t>Figure 2]</w:t>
      </w:r>
      <w:r w:rsidR="00914671" w:rsidRPr="0096072B">
        <w:rPr>
          <w:szCs w:val="20"/>
        </w:rPr>
        <w:t>.</w:t>
      </w:r>
    </w:p>
    <w:p w14:paraId="4373CBE4" w14:textId="77777777" w:rsidR="00953160" w:rsidRDefault="00953160" w:rsidP="00D14B60">
      <w:pPr>
        <w:rPr>
          <w:szCs w:val="20"/>
        </w:rPr>
      </w:pPr>
      <w:r w:rsidRPr="00973BF3">
        <w:rPr>
          <w:szCs w:val="20"/>
        </w:rPr>
        <w:t xml:space="preserve">The observed number of </w:t>
      </w:r>
      <w:r>
        <w:rPr>
          <w:szCs w:val="20"/>
        </w:rPr>
        <w:t>services for 2020</w:t>
      </w:r>
      <w:r w:rsidRPr="00973BF3">
        <w:rPr>
          <w:szCs w:val="20"/>
        </w:rPr>
        <w:t xml:space="preserve"> </w:t>
      </w:r>
      <w:r>
        <w:rPr>
          <w:szCs w:val="20"/>
        </w:rPr>
        <w:t>in some</w:t>
      </w:r>
      <w:r w:rsidRPr="00973BF3">
        <w:rPr>
          <w:szCs w:val="20"/>
        </w:rPr>
        <w:t xml:space="preserve"> jurisdictions was higher than expected</w:t>
      </w:r>
      <w:r>
        <w:rPr>
          <w:szCs w:val="20"/>
        </w:rPr>
        <w:t xml:space="preserve">. The number of </w:t>
      </w:r>
      <w:r w:rsidRPr="00D14B60">
        <w:rPr>
          <w:iCs/>
          <w:szCs w:val="20"/>
        </w:rPr>
        <w:t>observed</w:t>
      </w:r>
      <w:r>
        <w:rPr>
          <w:szCs w:val="20"/>
        </w:rPr>
        <w:t xml:space="preserve"> services was 22% higher than expected for SA/NT and 9% higher than expected for VIC/TAS.</w:t>
      </w:r>
      <w:r w:rsidRPr="00973BF3">
        <w:rPr>
          <w:szCs w:val="20"/>
        </w:rPr>
        <w:t xml:space="preserve"> The observed number of services </w:t>
      </w:r>
      <w:r>
        <w:rPr>
          <w:szCs w:val="20"/>
        </w:rPr>
        <w:t xml:space="preserve">was 25% lower than expected for QLD and </w:t>
      </w:r>
      <w:r w:rsidRPr="00973BF3">
        <w:rPr>
          <w:szCs w:val="20"/>
        </w:rPr>
        <w:t xml:space="preserve">similar to that expected for </w:t>
      </w:r>
      <w:r>
        <w:rPr>
          <w:szCs w:val="20"/>
        </w:rPr>
        <w:t>NSW/ACT (4% higher)</w:t>
      </w:r>
      <w:r w:rsidRPr="00973BF3">
        <w:rPr>
          <w:szCs w:val="20"/>
        </w:rPr>
        <w:t xml:space="preserve"> </w:t>
      </w:r>
      <w:r>
        <w:rPr>
          <w:szCs w:val="20"/>
        </w:rPr>
        <w:t>and WA (1% higher)</w:t>
      </w:r>
      <w:r w:rsidRPr="00973BF3">
        <w:rPr>
          <w:szCs w:val="20"/>
        </w:rPr>
        <w:t xml:space="preserve"> </w:t>
      </w:r>
      <w:r w:rsidR="00544365" w:rsidRPr="004F3E26">
        <w:rPr>
          <w:szCs w:val="20"/>
        </w:rPr>
        <w:t>[Table B</w:t>
      </w:r>
      <w:r w:rsidR="00544365">
        <w:rPr>
          <w:szCs w:val="20"/>
        </w:rPr>
        <w:t>2</w:t>
      </w:r>
      <w:r w:rsidR="00544365" w:rsidRPr="004F3E26">
        <w:rPr>
          <w:szCs w:val="20"/>
        </w:rPr>
        <w:t xml:space="preserve">; Figure </w:t>
      </w:r>
      <w:r w:rsidR="00544365">
        <w:rPr>
          <w:szCs w:val="20"/>
        </w:rPr>
        <w:t>2.5</w:t>
      </w:r>
      <w:r>
        <w:rPr>
          <w:szCs w:val="20"/>
        </w:rPr>
        <w:t>]</w:t>
      </w:r>
      <w:r w:rsidRPr="00973BF3">
        <w:rPr>
          <w:szCs w:val="20"/>
        </w:rPr>
        <w:t xml:space="preserve">. </w:t>
      </w:r>
      <w:r>
        <w:rPr>
          <w:szCs w:val="20"/>
        </w:rPr>
        <w:t>For each state/territory:</w:t>
      </w:r>
    </w:p>
    <w:p w14:paraId="4C61BA3A" w14:textId="77777777" w:rsidR="00953160" w:rsidRPr="00B4767C" w:rsidRDefault="00953160" w:rsidP="00D14B60">
      <w:pPr>
        <w:pStyle w:val="ListParagraph"/>
        <w:numPr>
          <w:ilvl w:val="0"/>
          <w:numId w:val="6"/>
        </w:numPr>
        <w:spacing w:line="280" w:lineRule="atLeast"/>
        <w:ind w:left="714" w:hanging="357"/>
        <w:jc w:val="both"/>
        <w:rPr>
          <w:rFonts w:ascii="Century Gothic" w:hAnsi="Century Gothic"/>
          <w:sz w:val="20"/>
          <w:szCs w:val="20"/>
        </w:rPr>
      </w:pPr>
      <w:bookmarkStart w:id="126" w:name="_Hlk81481555"/>
      <w:r w:rsidRPr="00B4767C">
        <w:rPr>
          <w:rFonts w:ascii="Century Gothic" w:hAnsi="Century Gothic"/>
          <w:sz w:val="20"/>
          <w:szCs w:val="20"/>
        </w:rPr>
        <w:t>The observed number of services was</w:t>
      </w:r>
      <w:r w:rsidRPr="00B4767C" w:rsidDel="00106F9A">
        <w:rPr>
          <w:rFonts w:ascii="Century Gothic" w:hAnsi="Century Gothic"/>
          <w:sz w:val="20"/>
          <w:szCs w:val="20"/>
        </w:rPr>
        <w:t xml:space="preserve"> </w:t>
      </w:r>
      <w:r w:rsidRPr="00953160">
        <w:rPr>
          <w:rFonts w:ascii="Century Gothic" w:hAnsi="Century Gothic"/>
          <w:noProof/>
          <w:color w:val="000000"/>
          <w:sz w:val="20"/>
          <w:szCs w:val="20"/>
        </w:rPr>
        <w:t>25% lower than expected for QLD, with 146 fewer services (444 services observed versus 590 services expected)</w:t>
      </w:r>
      <w:r w:rsidRPr="00B4767C">
        <w:rPr>
          <w:rFonts w:ascii="Century Gothic" w:hAnsi="Century Gothic"/>
          <w:sz w:val="20"/>
          <w:szCs w:val="20"/>
        </w:rPr>
        <w:t>; 22</w:t>
      </w:r>
      <w:r w:rsidRPr="00953160">
        <w:rPr>
          <w:rFonts w:ascii="Century Gothic" w:hAnsi="Century Gothic"/>
          <w:noProof/>
          <w:color w:val="000000"/>
          <w:sz w:val="20"/>
          <w:szCs w:val="20"/>
        </w:rPr>
        <w:t>% higher than expected for SA/NT, with 53 more services (292 services observed versus 239 services expected) and</w:t>
      </w:r>
      <w:r w:rsidRPr="00953160">
        <w:rPr>
          <w:rFonts w:ascii="Century Gothic" w:hAnsi="Century Gothic"/>
          <w:color w:val="000000"/>
          <w:sz w:val="20"/>
          <w:szCs w:val="20"/>
        </w:rPr>
        <w:t xml:space="preserve"> </w:t>
      </w:r>
      <w:r w:rsidRPr="00B4767C">
        <w:rPr>
          <w:rFonts w:ascii="Century Gothic" w:hAnsi="Century Gothic"/>
          <w:sz w:val="20"/>
          <w:szCs w:val="20"/>
        </w:rPr>
        <w:t>9</w:t>
      </w:r>
      <w:r w:rsidRPr="00953160">
        <w:rPr>
          <w:rFonts w:ascii="Century Gothic" w:hAnsi="Century Gothic"/>
          <w:noProof/>
          <w:color w:val="000000"/>
          <w:sz w:val="20"/>
          <w:szCs w:val="20"/>
        </w:rPr>
        <w:t>% higher than expected for VIC/TAS, with 112 more services</w:t>
      </w:r>
      <w:r w:rsidRPr="00953160">
        <w:rPr>
          <w:rFonts w:ascii="Century Gothic" w:hAnsi="Century Gothic"/>
          <w:color w:val="000000"/>
          <w:sz w:val="20"/>
          <w:szCs w:val="20"/>
        </w:rPr>
        <w:t xml:space="preserve"> </w:t>
      </w:r>
      <w:r w:rsidRPr="00953160">
        <w:rPr>
          <w:rFonts w:ascii="Century Gothic" w:hAnsi="Century Gothic"/>
          <w:noProof/>
          <w:color w:val="000000"/>
          <w:sz w:val="20"/>
          <w:szCs w:val="20"/>
        </w:rPr>
        <w:t>(1,336 services observed versus 1,224 services expected)</w:t>
      </w:r>
      <w:r w:rsidRPr="00953160">
        <w:rPr>
          <w:rFonts w:ascii="Century Gothic" w:hAnsi="Century Gothic"/>
          <w:color w:val="000000"/>
          <w:sz w:val="20"/>
          <w:szCs w:val="20"/>
        </w:rPr>
        <w:t xml:space="preserve">. </w:t>
      </w:r>
      <w:r w:rsidRPr="00B4767C">
        <w:rPr>
          <w:rFonts w:ascii="Century Gothic" w:hAnsi="Century Gothic"/>
          <w:sz w:val="20"/>
          <w:szCs w:val="20"/>
        </w:rPr>
        <w:t xml:space="preserve">The observed number of services was similar to expected for NSW/ACT (4% higher), with 42 more services </w:t>
      </w:r>
      <w:r w:rsidRPr="00953160">
        <w:rPr>
          <w:rFonts w:ascii="Century Gothic" w:hAnsi="Century Gothic"/>
          <w:noProof/>
          <w:color w:val="000000"/>
          <w:sz w:val="20"/>
          <w:szCs w:val="20"/>
        </w:rPr>
        <w:t>(1,107 services observed versus 1,065 services expected</w:t>
      </w:r>
      <w:r w:rsidRPr="00B4767C">
        <w:rPr>
          <w:rFonts w:ascii="Century Gothic" w:hAnsi="Century Gothic"/>
          <w:sz w:val="20"/>
          <w:szCs w:val="20"/>
        </w:rPr>
        <w:t xml:space="preserve">); and WA (1% higher), with 7 more services </w:t>
      </w:r>
      <w:r w:rsidRPr="00953160">
        <w:rPr>
          <w:rFonts w:ascii="Century Gothic" w:hAnsi="Century Gothic"/>
          <w:noProof/>
          <w:color w:val="000000"/>
          <w:sz w:val="20"/>
          <w:szCs w:val="20"/>
        </w:rPr>
        <w:t>(517services observed versus 510 services expected</w:t>
      </w:r>
      <w:r w:rsidRPr="00B4767C">
        <w:rPr>
          <w:rFonts w:ascii="Century Gothic" w:hAnsi="Century Gothic"/>
          <w:sz w:val="20"/>
          <w:szCs w:val="20"/>
        </w:rPr>
        <w:t xml:space="preserve">) </w:t>
      </w:r>
      <w:r w:rsidR="00544365" w:rsidRPr="00544365">
        <w:rPr>
          <w:rFonts w:ascii="Century Gothic" w:hAnsi="Century Gothic"/>
          <w:sz w:val="20"/>
          <w:szCs w:val="20"/>
        </w:rPr>
        <w:t>[Table B2; Figure 2.</w:t>
      </w:r>
      <w:r w:rsidR="00544365">
        <w:rPr>
          <w:rFonts w:ascii="Century Gothic" w:hAnsi="Century Gothic"/>
          <w:sz w:val="20"/>
          <w:szCs w:val="20"/>
        </w:rPr>
        <w:t>5</w:t>
      </w:r>
      <w:r w:rsidRPr="00B4767C">
        <w:rPr>
          <w:rFonts w:ascii="Century Gothic" w:hAnsi="Century Gothic"/>
          <w:sz w:val="20"/>
          <w:szCs w:val="20"/>
        </w:rPr>
        <w:t>].</w:t>
      </w:r>
      <w:bookmarkEnd w:id="125"/>
      <w:bookmarkEnd w:id="126"/>
    </w:p>
    <w:p w14:paraId="5C321916" w14:textId="77777777" w:rsidR="00D1758D" w:rsidRDefault="00953160" w:rsidP="00953160">
      <w:r>
        <w:rPr>
          <w:szCs w:val="20"/>
        </w:rPr>
        <w:t xml:space="preserve">The observed and expected number of therapeutic services related to lung cancer for 2020 for each state and territory are provided in Appendix </w:t>
      </w:r>
      <w:r w:rsidR="00544365">
        <w:rPr>
          <w:szCs w:val="20"/>
        </w:rPr>
        <w:t>Table B2</w:t>
      </w:r>
      <w:r w:rsidRPr="00395B12">
        <w:rPr>
          <w:szCs w:val="20"/>
        </w:rPr>
        <w:t>.</w:t>
      </w:r>
    </w:p>
    <w:p w14:paraId="08F94EEA" w14:textId="2B7DD503" w:rsidR="00517B20" w:rsidRPr="00202411" w:rsidRDefault="00914671" w:rsidP="00517B20">
      <w:pPr>
        <w:pStyle w:val="FigureName"/>
        <w:spacing w:before="480" w:after="200"/>
        <w:ind w:left="1077" w:hanging="1077"/>
      </w:pPr>
      <w:bookmarkStart w:id="127" w:name="_Ref79626387"/>
      <w:bookmarkStart w:id="128" w:name="_Toc83365213"/>
      <w:bookmarkStart w:id="129" w:name="_Toc83720990"/>
      <w:bookmarkStart w:id="130" w:name="_Hlk83621985"/>
      <w:r>
        <w:lastRenderedPageBreak/>
        <w:t>Figure 2.5</w:t>
      </w:r>
      <w:r>
        <w:tab/>
      </w:r>
      <w:bookmarkEnd w:id="127"/>
      <w:r w:rsidR="00517B20" w:rsidRPr="00202411">
        <w:t xml:space="preserve">Annual observed and expected number of services for lung cancer-related </w:t>
      </w:r>
      <w:r w:rsidR="00517B20">
        <w:t>therapeutic procedures</w:t>
      </w:r>
      <w:r w:rsidR="00517B20" w:rsidRPr="00202411">
        <w:t xml:space="preserve"> in 2020, by jurisdiction</w:t>
      </w:r>
      <w:bookmarkEnd w:id="128"/>
      <w:bookmarkEnd w:id="129"/>
    </w:p>
    <w:p w14:paraId="5F552C64" w14:textId="77777777" w:rsidR="00517B20" w:rsidRDefault="00834120" w:rsidP="00517B20">
      <w:pPr>
        <w:jc w:val="center"/>
        <w:rPr>
          <w:szCs w:val="20"/>
        </w:rPr>
      </w:pPr>
      <w:r w:rsidRPr="00517B20">
        <w:rPr>
          <w:noProof/>
          <w:szCs w:val="20"/>
        </w:rPr>
        <w:drawing>
          <wp:inline distT="0" distB="0" distL="0" distR="0" wp14:anchorId="349BAD7E" wp14:editId="0CECBD15">
            <wp:extent cx="4457700" cy="2819400"/>
            <wp:effectExtent l="0" t="0" r="0" b="0"/>
            <wp:docPr id="15" name="Picture 2" descr="The figure is a column graph depicting the number of therapeutic procedures related to lung cancer for each jurisdiction in 2020. Two bars are shown for each jurisdiction, one for the number of observed services and one for the number of expected services. The column bar for observed services is lower than the column bar for expected services for QLD. The column bar for observed services is higher than the column bar for expected services for jurisdictions including VIC and TAS combined and SA and NT combined. The observed and expected number of services are considered similar for jurisdictions including NSW and ACT combined and 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The figure is a column graph depicting the number of therapeutic procedures related to lung cancer for each jurisdiction in 2020. Two bars are shown for each jurisdiction, one for the number of observed services and one for the number of expected services. The column bar for observed services is lower than the column bar for expected services for QLD. The column bar for observed services is higher than the column bar for expected services for jurisdictions including VIC and TAS combined and SA and NT combined. The observed and expected number of services are considered similar for jurisdictions including NSW and ACT combined and W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57700" cy="2819400"/>
                    </a:xfrm>
                    <a:prstGeom prst="rect">
                      <a:avLst/>
                    </a:prstGeom>
                    <a:noFill/>
                    <a:ln>
                      <a:noFill/>
                    </a:ln>
                  </pic:spPr>
                </pic:pic>
              </a:graphicData>
            </a:graphic>
          </wp:inline>
        </w:drawing>
      </w:r>
    </w:p>
    <w:p w14:paraId="6194D9CF" w14:textId="77777777" w:rsidR="00D1758D" w:rsidRDefault="00D1758D" w:rsidP="00D1758D">
      <w:pPr>
        <w:pStyle w:val="Heading2"/>
        <w:tabs>
          <w:tab w:val="clear" w:pos="1572"/>
          <w:tab w:val="num" w:pos="709"/>
        </w:tabs>
        <w:ind w:left="709" w:hanging="709"/>
        <w:rPr>
          <w:kern w:val="32"/>
        </w:rPr>
      </w:pPr>
      <w:bookmarkStart w:id="131" w:name="_Toc84363194"/>
      <w:bookmarkEnd w:id="130"/>
      <w:r>
        <w:t>Melanoma of the skin</w:t>
      </w:r>
      <w:bookmarkEnd w:id="131"/>
    </w:p>
    <w:p w14:paraId="2674C01B" w14:textId="77777777" w:rsidR="00953160" w:rsidRDefault="00953160" w:rsidP="00D14B60">
      <w:pPr>
        <w:rPr>
          <w:szCs w:val="20"/>
        </w:rPr>
      </w:pPr>
      <w:r w:rsidRPr="009F502B">
        <w:rPr>
          <w:szCs w:val="20"/>
        </w:rPr>
        <w:t xml:space="preserve">The </w:t>
      </w:r>
      <w:r>
        <w:rPr>
          <w:szCs w:val="20"/>
        </w:rPr>
        <w:t xml:space="preserve">surgical </w:t>
      </w:r>
      <w:r w:rsidRPr="009F502B">
        <w:rPr>
          <w:szCs w:val="20"/>
        </w:rPr>
        <w:t xml:space="preserve">therapeutic procedures </w:t>
      </w:r>
      <w:r>
        <w:rPr>
          <w:szCs w:val="20"/>
        </w:rPr>
        <w:t>for melanoma of the skin in these analyses were</w:t>
      </w:r>
      <w:r w:rsidRPr="009F502B">
        <w:rPr>
          <w:szCs w:val="20"/>
        </w:rPr>
        <w:t xml:space="preserve"> definitive surgical excisions for </w:t>
      </w:r>
      <w:r>
        <w:rPr>
          <w:szCs w:val="20"/>
        </w:rPr>
        <w:t xml:space="preserve">confirmed </w:t>
      </w:r>
      <w:r w:rsidRPr="009F502B">
        <w:rPr>
          <w:szCs w:val="20"/>
        </w:rPr>
        <w:t>melanoma-related skin cancers</w:t>
      </w:r>
      <w:r w:rsidRPr="009137DC">
        <w:rPr>
          <w:vertAlign w:val="superscript"/>
        </w:rPr>
        <w:footnoteReference w:id="24"/>
      </w:r>
      <w:r w:rsidRPr="009F502B">
        <w:rPr>
          <w:szCs w:val="20"/>
        </w:rPr>
        <w:t>.</w:t>
      </w:r>
      <w:r>
        <w:rPr>
          <w:szCs w:val="20"/>
        </w:rPr>
        <w:t xml:space="preserve"> </w:t>
      </w:r>
      <w:r w:rsidRPr="00017E82">
        <w:rPr>
          <w:szCs w:val="20"/>
        </w:rPr>
        <w:t xml:space="preserve">This </w:t>
      </w:r>
      <w:r>
        <w:rPr>
          <w:szCs w:val="20"/>
        </w:rPr>
        <w:t xml:space="preserve">encompasses procedures </w:t>
      </w:r>
      <w:r w:rsidRPr="00D14B60">
        <w:rPr>
          <w:iCs/>
          <w:szCs w:val="20"/>
        </w:rPr>
        <w:t>where</w:t>
      </w:r>
      <w:r>
        <w:rPr>
          <w:szCs w:val="20"/>
        </w:rPr>
        <w:t xml:space="preserve"> treatment is by definitive surgical excision and suture, for a range of excision sites and tumour diameters. These procedures are reimbursed where “</w:t>
      </w:r>
      <w:r w:rsidRPr="00017E82">
        <w:rPr>
          <w:i/>
          <w:szCs w:val="20"/>
        </w:rPr>
        <w:t>the excised specimen is sent for histological examination; and malignancy is confirmed from the excised specimen or previous biopsy</w:t>
      </w:r>
      <w:r w:rsidRPr="00017E82">
        <w:rPr>
          <w:szCs w:val="20"/>
        </w:rPr>
        <w:t xml:space="preserve">”. </w:t>
      </w:r>
      <w:r>
        <w:rPr>
          <w:szCs w:val="20"/>
        </w:rPr>
        <w:t xml:space="preserve">Therefore, use of these item codes by service providers represent confirmed diagnosis and treatment procedures for these cancer types. </w:t>
      </w:r>
    </w:p>
    <w:p w14:paraId="67FA807B" w14:textId="2D96F88C" w:rsidR="00953160" w:rsidRPr="00973BF3" w:rsidRDefault="00953160" w:rsidP="00D14B60">
      <w:pPr>
        <w:rPr>
          <w:szCs w:val="20"/>
        </w:rPr>
      </w:pPr>
      <w:r w:rsidRPr="00973BF3">
        <w:rPr>
          <w:szCs w:val="20"/>
        </w:rPr>
        <w:t xml:space="preserve">In 2020, the observed number of services nationally for </w:t>
      </w:r>
      <w:r>
        <w:rPr>
          <w:noProof/>
          <w:szCs w:val="20"/>
        </w:rPr>
        <w:t>therapeutic procedures</w:t>
      </w:r>
      <w:r w:rsidRPr="00973BF3">
        <w:rPr>
          <w:noProof/>
          <w:szCs w:val="20"/>
        </w:rPr>
        <w:t xml:space="preserve"> related to melanoma </w:t>
      </w:r>
      <w:r>
        <w:rPr>
          <w:noProof/>
          <w:szCs w:val="20"/>
        </w:rPr>
        <w:t xml:space="preserve">of the </w:t>
      </w:r>
      <w:r w:rsidRPr="00973BF3">
        <w:rPr>
          <w:noProof/>
          <w:szCs w:val="20"/>
        </w:rPr>
        <w:t xml:space="preserve">skin </w:t>
      </w:r>
      <w:r w:rsidRPr="00973BF3">
        <w:rPr>
          <w:szCs w:val="20"/>
        </w:rPr>
        <w:t xml:space="preserve">was </w:t>
      </w:r>
      <w:r w:rsidRPr="00973BF3">
        <w:rPr>
          <w:noProof/>
          <w:szCs w:val="20"/>
        </w:rPr>
        <w:t>14% lower than expected</w:t>
      </w:r>
      <w:r>
        <w:rPr>
          <w:noProof/>
          <w:szCs w:val="20"/>
        </w:rPr>
        <w:t xml:space="preserve">, with </w:t>
      </w:r>
      <w:r w:rsidRPr="00973BF3">
        <w:rPr>
          <w:noProof/>
          <w:szCs w:val="20"/>
        </w:rPr>
        <w:t>11,245 fewer services</w:t>
      </w:r>
      <w:r w:rsidRPr="00973BF3">
        <w:rPr>
          <w:szCs w:val="20"/>
        </w:rPr>
        <w:t xml:space="preserve"> </w:t>
      </w:r>
      <w:r w:rsidRPr="00973BF3">
        <w:rPr>
          <w:noProof/>
          <w:szCs w:val="20"/>
        </w:rPr>
        <w:t>(68,131</w:t>
      </w:r>
      <w:r w:rsidR="00834120">
        <w:rPr>
          <w:noProof/>
          <w:szCs w:val="20"/>
        </w:rPr>
        <w:t xml:space="preserve"> </w:t>
      </w:r>
      <w:r>
        <w:rPr>
          <w:noProof/>
          <w:szCs w:val="20"/>
        </w:rPr>
        <w:t xml:space="preserve">services observed versus </w:t>
      </w:r>
      <w:r w:rsidRPr="00973BF3">
        <w:rPr>
          <w:noProof/>
          <w:szCs w:val="20"/>
        </w:rPr>
        <w:t xml:space="preserve">79,376 </w:t>
      </w:r>
      <w:r>
        <w:rPr>
          <w:noProof/>
          <w:szCs w:val="20"/>
        </w:rPr>
        <w:t xml:space="preserve">services expected) </w:t>
      </w:r>
      <w:r w:rsidR="00914671">
        <w:t>[</w:t>
      </w:r>
      <w:r w:rsidR="00914671" w:rsidRPr="0096072B">
        <w:fldChar w:fldCharType="begin"/>
      </w:r>
      <w:r w:rsidR="00914671" w:rsidRPr="0096072B">
        <w:instrText xml:space="preserve"> REF _Ref79624062 \h  \* MERGEFORMAT </w:instrText>
      </w:r>
      <w:r w:rsidR="00914671" w:rsidRPr="0096072B">
        <w:fldChar w:fldCharType="separate"/>
      </w:r>
      <w:r w:rsidR="00914671">
        <w:t xml:space="preserve">Table </w:t>
      </w:r>
      <w:r w:rsidR="00914671">
        <w:rPr>
          <w:noProof/>
        </w:rPr>
        <w:t>2</w:t>
      </w:r>
      <w:r w:rsidR="00914671" w:rsidRPr="0096072B">
        <w:fldChar w:fldCharType="end"/>
      </w:r>
      <w:r w:rsidR="00914671" w:rsidRPr="0096072B">
        <w:t xml:space="preserve">; </w:t>
      </w:r>
      <w:r w:rsidR="00914671">
        <w:t>Figure 2]</w:t>
      </w:r>
      <w:r w:rsidR="00914671" w:rsidRPr="0096072B">
        <w:rPr>
          <w:szCs w:val="20"/>
        </w:rPr>
        <w:t>.</w:t>
      </w:r>
    </w:p>
    <w:p w14:paraId="101FE320" w14:textId="77777777" w:rsidR="00953160" w:rsidRDefault="00953160" w:rsidP="00D14B60">
      <w:pPr>
        <w:rPr>
          <w:szCs w:val="20"/>
        </w:rPr>
      </w:pPr>
      <w:r w:rsidRPr="00973BF3">
        <w:rPr>
          <w:szCs w:val="20"/>
        </w:rPr>
        <w:t xml:space="preserve">The observed number of </w:t>
      </w:r>
      <w:r>
        <w:rPr>
          <w:szCs w:val="20"/>
        </w:rPr>
        <w:t>services for 2020</w:t>
      </w:r>
      <w:r w:rsidRPr="00973BF3">
        <w:rPr>
          <w:szCs w:val="20"/>
        </w:rPr>
        <w:t xml:space="preserve"> </w:t>
      </w:r>
      <w:r>
        <w:rPr>
          <w:szCs w:val="20"/>
        </w:rPr>
        <w:t xml:space="preserve">was </w:t>
      </w:r>
      <w:r w:rsidRPr="00973BF3">
        <w:rPr>
          <w:szCs w:val="20"/>
        </w:rPr>
        <w:t>11</w:t>
      </w:r>
      <w:r>
        <w:t>–</w:t>
      </w:r>
      <w:r w:rsidRPr="00973BF3">
        <w:rPr>
          <w:szCs w:val="20"/>
        </w:rPr>
        <w:t xml:space="preserve">17% </w:t>
      </w:r>
      <w:r>
        <w:rPr>
          <w:szCs w:val="20"/>
        </w:rPr>
        <w:t xml:space="preserve">lower than expected for each jurisdiction </w:t>
      </w:r>
      <w:r w:rsidR="00544365" w:rsidRPr="004F3E26">
        <w:rPr>
          <w:szCs w:val="20"/>
        </w:rPr>
        <w:t>[Table B</w:t>
      </w:r>
      <w:r w:rsidR="00544365">
        <w:rPr>
          <w:szCs w:val="20"/>
        </w:rPr>
        <w:t>2</w:t>
      </w:r>
      <w:r w:rsidR="00544365" w:rsidRPr="004F3E26">
        <w:rPr>
          <w:szCs w:val="20"/>
        </w:rPr>
        <w:t xml:space="preserve">; Figure </w:t>
      </w:r>
      <w:r w:rsidR="00544365">
        <w:rPr>
          <w:szCs w:val="20"/>
        </w:rPr>
        <w:t>2.6</w:t>
      </w:r>
      <w:r>
        <w:rPr>
          <w:szCs w:val="20"/>
        </w:rPr>
        <w:t>].</w:t>
      </w:r>
      <w:r w:rsidRPr="00973BF3">
        <w:rPr>
          <w:szCs w:val="20"/>
        </w:rPr>
        <w:t xml:space="preserve"> </w:t>
      </w:r>
      <w:r>
        <w:rPr>
          <w:szCs w:val="20"/>
        </w:rPr>
        <w:t>For each state/territory:</w:t>
      </w:r>
    </w:p>
    <w:p w14:paraId="32590071" w14:textId="77777777" w:rsidR="00953160" w:rsidRPr="00B4767C" w:rsidRDefault="00953160" w:rsidP="00D14B60">
      <w:pPr>
        <w:pStyle w:val="ListParagraph"/>
        <w:numPr>
          <w:ilvl w:val="0"/>
          <w:numId w:val="6"/>
        </w:numPr>
        <w:spacing w:line="280" w:lineRule="atLeast"/>
        <w:ind w:left="714" w:hanging="357"/>
        <w:jc w:val="both"/>
        <w:rPr>
          <w:rFonts w:ascii="Century Gothic" w:hAnsi="Century Gothic"/>
          <w:sz w:val="20"/>
          <w:szCs w:val="20"/>
        </w:rPr>
      </w:pPr>
      <w:bookmarkStart w:id="132" w:name="_Hlk81482128"/>
      <w:r w:rsidRPr="005E7A02">
        <w:rPr>
          <w:rFonts w:ascii="Century Gothic" w:hAnsi="Century Gothic"/>
          <w:sz w:val="20"/>
          <w:szCs w:val="20"/>
        </w:rPr>
        <w:t>The observed number of services was</w:t>
      </w:r>
      <w:r w:rsidRPr="005E7A02" w:rsidDel="00106F9A">
        <w:rPr>
          <w:rFonts w:ascii="Century Gothic" w:hAnsi="Century Gothic"/>
          <w:sz w:val="20"/>
          <w:szCs w:val="20"/>
        </w:rPr>
        <w:t xml:space="preserve"> </w:t>
      </w:r>
      <w:r w:rsidRPr="00953160">
        <w:rPr>
          <w:rFonts w:ascii="Century Gothic" w:hAnsi="Century Gothic"/>
          <w:noProof/>
          <w:color w:val="000000"/>
          <w:sz w:val="20"/>
          <w:szCs w:val="20"/>
        </w:rPr>
        <w:t>17% lower than expected for QLD, with 4,024 fewer services (19,975 services observed versus 23,999 services expected)</w:t>
      </w:r>
      <w:r w:rsidRPr="005E7A02">
        <w:rPr>
          <w:rFonts w:ascii="Century Gothic" w:hAnsi="Century Gothic"/>
          <w:sz w:val="20"/>
          <w:szCs w:val="20"/>
        </w:rPr>
        <w:t>; 16</w:t>
      </w:r>
      <w:r w:rsidRPr="00953160">
        <w:rPr>
          <w:rFonts w:ascii="Century Gothic" w:hAnsi="Century Gothic"/>
          <w:noProof/>
          <w:color w:val="000000"/>
          <w:sz w:val="20"/>
          <w:szCs w:val="20"/>
        </w:rPr>
        <w:t xml:space="preserve">% lower than expected for WA, with 1,294 fewer services (7,045 services observed versus 8,339 services expected); </w:t>
      </w:r>
      <w:r w:rsidRPr="005E7A02">
        <w:rPr>
          <w:rFonts w:ascii="Century Gothic" w:hAnsi="Century Gothic"/>
          <w:sz w:val="20"/>
          <w:szCs w:val="20"/>
        </w:rPr>
        <w:t>15</w:t>
      </w:r>
      <w:r w:rsidRPr="00953160">
        <w:rPr>
          <w:rFonts w:ascii="Century Gothic" w:hAnsi="Century Gothic"/>
          <w:noProof/>
          <w:color w:val="000000"/>
          <w:sz w:val="20"/>
          <w:szCs w:val="20"/>
        </w:rPr>
        <w:t>% lower than expected for SA/NT, with 650 fewer services</w:t>
      </w:r>
      <w:r w:rsidRPr="00953160">
        <w:rPr>
          <w:rFonts w:ascii="Century Gothic" w:hAnsi="Century Gothic"/>
          <w:color w:val="000000"/>
          <w:sz w:val="20"/>
          <w:szCs w:val="20"/>
        </w:rPr>
        <w:t xml:space="preserve"> </w:t>
      </w:r>
      <w:r w:rsidRPr="00953160">
        <w:rPr>
          <w:rFonts w:ascii="Century Gothic" w:hAnsi="Century Gothic"/>
          <w:noProof/>
          <w:color w:val="000000"/>
          <w:sz w:val="20"/>
          <w:szCs w:val="20"/>
        </w:rPr>
        <w:t xml:space="preserve">(3,619 services observed versus 4,269 services expected); </w:t>
      </w:r>
      <w:r w:rsidRPr="005E7A02">
        <w:rPr>
          <w:rFonts w:ascii="Century Gothic" w:hAnsi="Century Gothic"/>
          <w:sz w:val="20"/>
          <w:szCs w:val="20"/>
        </w:rPr>
        <w:t>13</w:t>
      </w:r>
      <w:r w:rsidRPr="00953160">
        <w:rPr>
          <w:rFonts w:ascii="Century Gothic" w:hAnsi="Century Gothic"/>
          <w:noProof/>
          <w:color w:val="000000"/>
          <w:sz w:val="20"/>
          <w:szCs w:val="20"/>
        </w:rPr>
        <w:t xml:space="preserve">% lower than expected for NSW/ACT, with 3,704 fewer services (25,296 services observed versus 29,000 services expected); and </w:t>
      </w:r>
      <w:r w:rsidRPr="005E7A02">
        <w:rPr>
          <w:rFonts w:ascii="Century Gothic" w:hAnsi="Century Gothic"/>
          <w:sz w:val="20"/>
          <w:szCs w:val="20"/>
        </w:rPr>
        <w:t>11</w:t>
      </w:r>
      <w:r w:rsidRPr="00953160">
        <w:rPr>
          <w:rFonts w:ascii="Century Gothic" w:hAnsi="Century Gothic"/>
          <w:noProof/>
          <w:color w:val="000000"/>
          <w:sz w:val="20"/>
          <w:szCs w:val="20"/>
        </w:rPr>
        <w:t>% lower than expected for VIC/TAS, with 1,574 fewer services (12,196 services observed versus 13,770 services expected)</w:t>
      </w:r>
      <w:r w:rsidRPr="00953160">
        <w:rPr>
          <w:rFonts w:ascii="Century Gothic" w:hAnsi="Century Gothic"/>
          <w:color w:val="000000"/>
          <w:sz w:val="20"/>
          <w:szCs w:val="20"/>
        </w:rPr>
        <w:t xml:space="preserve"> </w:t>
      </w:r>
      <w:r w:rsidR="00544365" w:rsidRPr="00544365">
        <w:rPr>
          <w:rFonts w:ascii="Century Gothic" w:hAnsi="Century Gothic"/>
          <w:sz w:val="20"/>
          <w:szCs w:val="20"/>
        </w:rPr>
        <w:t>[Table B2; Figure 2.</w:t>
      </w:r>
      <w:r w:rsidR="00544365">
        <w:rPr>
          <w:rFonts w:ascii="Century Gothic" w:hAnsi="Century Gothic"/>
          <w:sz w:val="20"/>
          <w:szCs w:val="20"/>
        </w:rPr>
        <w:t>6</w:t>
      </w:r>
      <w:r w:rsidRPr="005E7A02">
        <w:rPr>
          <w:rFonts w:ascii="Century Gothic" w:hAnsi="Century Gothic"/>
          <w:sz w:val="20"/>
          <w:szCs w:val="20"/>
        </w:rPr>
        <w:t>].</w:t>
      </w:r>
      <w:bookmarkEnd w:id="132"/>
    </w:p>
    <w:p w14:paraId="1B72C346" w14:textId="77777777" w:rsidR="00D1758D" w:rsidRDefault="00953160" w:rsidP="00953160">
      <w:r>
        <w:rPr>
          <w:szCs w:val="20"/>
        </w:rPr>
        <w:lastRenderedPageBreak/>
        <w:t xml:space="preserve">The observed and expected number of therapeutic services related to melanoma of the skin for 2020 for each state and territory are provided in Appendix </w:t>
      </w:r>
      <w:r w:rsidR="00544365">
        <w:rPr>
          <w:szCs w:val="20"/>
        </w:rPr>
        <w:t>Table B2</w:t>
      </w:r>
      <w:r w:rsidRPr="00395B12">
        <w:rPr>
          <w:szCs w:val="20"/>
        </w:rPr>
        <w:t>.</w:t>
      </w:r>
    </w:p>
    <w:p w14:paraId="1CBA0E34" w14:textId="03B7EE5E" w:rsidR="00517B20" w:rsidRDefault="00914671" w:rsidP="00517B20">
      <w:pPr>
        <w:pStyle w:val="FigureName"/>
        <w:spacing w:before="480" w:after="200"/>
        <w:ind w:left="1077" w:hanging="1077"/>
      </w:pPr>
      <w:bookmarkStart w:id="133" w:name="_Ref79626610"/>
      <w:bookmarkStart w:id="134" w:name="_Toc83365214"/>
      <w:bookmarkStart w:id="135" w:name="_Toc83720991"/>
      <w:bookmarkStart w:id="136" w:name="_Hlk83622022"/>
      <w:bookmarkStart w:id="137" w:name="_Hlk84946192"/>
      <w:r>
        <w:t>Figure 2.6</w:t>
      </w:r>
      <w:r>
        <w:tab/>
      </w:r>
      <w:bookmarkEnd w:id="133"/>
      <w:r w:rsidR="00517B20" w:rsidRPr="00DB4AB5">
        <w:t xml:space="preserve">Annual observed and expected number of services for </w:t>
      </w:r>
      <w:r w:rsidR="00517B20">
        <w:t>melanoma of the skin</w:t>
      </w:r>
      <w:r w:rsidR="00517B20" w:rsidRPr="00DB4AB5">
        <w:t xml:space="preserve"> </w:t>
      </w:r>
      <w:r w:rsidR="00517B20">
        <w:t xml:space="preserve">related therapeutic procedures </w:t>
      </w:r>
      <w:r w:rsidR="00517B20" w:rsidRPr="00DB4AB5">
        <w:t>in 2020, by jurisdiction</w:t>
      </w:r>
      <w:bookmarkEnd w:id="134"/>
      <w:bookmarkEnd w:id="135"/>
    </w:p>
    <w:p w14:paraId="28BF9617" w14:textId="77777777" w:rsidR="00D1758D" w:rsidRDefault="00834120" w:rsidP="00517B20">
      <w:pPr>
        <w:jc w:val="center"/>
      </w:pPr>
      <w:r w:rsidRPr="00517B20">
        <w:rPr>
          <w:noProof/>
          <w:szCs w:val="20"/>
        </w:rPr>
        <w:drawing>
          <wp:inline distT="0" distB="0" distL="0" distR="0" wp14:anchorId="79BD6F96" wp14:editId="1FBB59D1">
            <wp:extent cx="4457700" cy="2819400"/>
            <wp:effectExtent l="0" t="0" r="0" b="0"/>
            <wp:docPr id="16" name="Picture 1" descr="The figure is a column graph depicting the number of therapeutic procedures related to melanoma-related skin cancer for each jurisdiction in 2020. Two bars are shown for each jurisdiction, one for the number of observed services and one for the number of expected services. The column bar for observed services is lower than the column bar for expected services for all jurisdi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The figure is a column graph depicting the number of therapeutic procedures related to melanoma-related skin cancer for each jurisdiction in 2020. Two bars are shown for each jurisdiction, one for the number of observed services and one for the number of expected services. The column bar for observed services is lower than the column bar for expected services for all jurisdiction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57700" cy="2819400"/>
                    </a:xfrm>
                    <a:prstGeom prst="rect">
                      <a:avLst/>
                    </a:prstGeom>
                    <a:noFill/>
                    <a:ln>
                      <a:noFill/>
                    </a:ln>
                  </pic:spPr>
                </pic:pic>
              </a:graphicData>
            </a:graphic>
          </wp:inline>
        </w:drawing>
      </w:r>
      <w:bookmarkEnd w:id="136"/>
    </w:p>
    <w:p w14:paraId="58EDC8D8" w14:textId="77777777" w:rsidR="00D1758D" w:rsidRDefault="00D1758D" w:rsidP="00D1758D">
      <w:pPr>
        <w:pStyle w:val="Heading2"/>
        <w:tabs>
          <w:tab w:val="clear" w:pos="1572"/>
          <w:tab w:val="num" w:pos="709"/>
        </w:tabs>
        <w:ind w:left="709" w:hanging="709"/>
        <w:rPr>
          <w:kern w:val="32"/>
        </w:rPr>
      </w:pPr>
      <w:bookmarkStart w:id="138" w:name="_Toc84363195"/>
      <w:bookmarkEnd w:id="137"/>
      <w:r>
        <w:t>Prostate cancer</w:t>
      </w:r>
      <w:bookmarkEnd w:id="138"/>
    </w:p>
    <w:p w14:paraId="353EF42A" w14:textId="77777777" w:rsidR="00953160" w:rsidRPr="00A9018F" w:rsidRDefault="00953160" w:rsidP="00D14B60">
      <w:pPr>
        <w:rPr>
          <w:szCs w:val="20"/>
        </w:rPr>
      </w:pPr>
      <w:bookmarkStart w:id="139" w:name="_Hlk81845176"/>
      <w:r w:rsidRPr="00A9018F">
        <w:rPr>
          <w:szCs w:val="20"/>
        </w:rPr>
        <w:t xml:space="preserve">Definitive curative </w:t>
      </w:r>
      <w:r w:rsidRPr="00D14B60">
        <w:rPr>
          <w:iCs/>
          <w:szCs w:val="20"/>
        </w:rPr>
        <w:t>treatment</w:t>
      </w:r>
      <w:r w:rsidRPr="00A9018F">
        <w:rPr>
          <w:szCs w:val="20"/>
        </w:rPr>
        <w:t xml:space="preserve"> options for localised or locally advanced prostate cancer include surgery (radical prostatectomy)</w:t>
      </w:r>
      <w:r>
        <w:rPr>
          <w:szCs w:val="20"/>
        </w:rPr>
        <w:t>,</w:t>
      </w:r>
      <w:r w:rsidRPr="00A9018F">
        <w:rPr>
          <w:szCs w:val="20"/>
        </w:rPr>
        <w:t xml:space="preserve"> and radiation therapy by external beam radiotherapy (EBRT) or brachytherapy. Treatment options for some earlier stage cancers may also involve the monitoring of key indicators of progression of disease</w:t>
      </w:r>
      <w:r>
        <w:rPr>
          <w:szCs w:val="20"/>
        </w:rPr>
        <w:t xml:space="preserve"> and</w:t>
      </w:r>
      <w:r w:rsidRPr="00A9018F">
        <w:rPr>
          <w:szCs w:val="20"/>
        </w:rPr>
        <w:t xml:space="preserve"> undergoing regular testing to monitor the requirement to progress to active treatment if necessary, also known as active surveillance. </w:t>
      </w:r>
    </w:p>
    <w:p w14:paraId="4B29C619" w14:textId="77777777" w:rsidR="00953160" w:rsidRPr="00A9018F" w:rsidRDefault="00953160" w:rsidP="00D14B60">
      <w:pPr>
        <w:rPr>
          <w:szCs w:val="20"/>
        </w:rPr>
      </w:pPr>
      <w:r w:rsidRPr="00A9018F">
        <w:rPr>
          <w:szCs w:val="20"/>
        </w:rPr>
        <w:t xml:space="preserve">Treatment </w:t>
      </w:r>
      <w:r w:rsidRPr="00D14B60">
        <w:rPr>
          <w:iCs/>
          <w:szCs w:val="20"/>
        </w:rPr>
        <w:t>options</w:t>
      </w:r>
      <w:r w:rsidRPr="00A9018F">
        <w:rPr>
          <w:szCs w:val="20"/>
        </w:rPr>
        <w:t xml:space="preserve"> for some earlier stage cancers may also involve the monitoring of key indicators of progression of disease and undergoing regular testing to monitor the requirement to progress to active treatment if necessary, also known as active surveillance</w:t>
      </w:r>
      <w:r>
        <w:rPr>
          <w:szCs w:val="20"/>
        </w:rPr>
        <w:t>.</w:t>
      </w:r>
      <w:bookmarkEnd w:id="139"/>
      <w:r>
        <w:rPr>
          <w:szCs w:val="20"/>
        </w:rPr>
        <w:fldChar w:fldCharType="begin"/>
      </w:r>
      <w:r>
        <w:rPr>
          <w:szCs w:val="20"/>
        </w:rPr>
        <w:instrText xml:space="preserve"> ADDIN EN.CITE &lt;EndNote&gt;&lt;Cite&gt;&lt;Author&gt;Cancer Council Australia&lt;/Author&gt;&lt;Year&gt;2014&lt;/Year&gt;&lt;RecNum&gt;5&lt;/RecNum&gt;&lt;DisplayText&gt;&lt;style face="superscript"&gt;8, 9&lt;/style&gt;&lt;/DisplayText&gt;&lt;record&gt;&lt;rec-number&gt;5&lt;/rec-number&gt;&lt;foreign-keys&gt;&lt;key app="EN" db-id="rz202aawgezwf6ers99pd5p4rdfzffp9z2fz" timestamp="1629712443"&gt;5&lt;/key&gt;&lt;/foreign-keys&gt;&lt;ref-type name="Web Page"&gt;12&lt;/ref-type&gt;&lt;contributors&gt;&lt;authors&gt;&lt;author&gt;Cancer Council Australia,&lt;/author&gt;&lt;/authors&gt;&lt;/contributors&gt;&lt;titles&gt;&lt;title&gt;Optimal care pathway for men with prostate cancer&lt;/title&gt;&lt;/titles&gt;&lt;dates&gt;&lt;year&gt;2014&lt;/year&gt;&lt;/dates&gt;&lt;urls&gt;&lt;related-urls&gt;&lt;url&gt;https://www.cancer.org.au/health-professionals/optimal-cancer-care-pathways &lt;/url&gt;&lt;/related-urls&gt;&lt;/urls&gt;&lt;custom2&gt;3 November 2020&lt;/custom2&gt;&lt;/record&gt;&lt;/Cite&gt;&lt;Cite&gt;&lt;Author&gt;Prostate Cancer Foundation of Australia&lt;/Author&gt;&lt;Year&gt;2015&lt;/Year&gt;&lt;RecNum&gt;6&lt;/RecNum&gt;&lt;record&gt;&lt;rec-number&gt;6&lt;/rec-number&gt;&lt;foreign-keys&gt;&lt;key app="EN" db-id="rz202aawgezwf6ers99pd5p4rdfzffp9z2fz" timestamp="1629712818"&gt;6&lt;/key&gt;&lt;/foreign-keys&gt;&lt;ref-type name="Web Page"&gt;12&lt;/ref-type&gt;&lt;contributors&gt;&lt;authors&gt;&lt;author&gt;Prostate Cancer Foundation of Australia,&lt;/author&gt;&lt;author&gt;Cancer Council Australia PSA Testing Guidelines Expert Advisory Panel,&lt;/author&gt;&lt;/authors&gt;&lt;/contributors&gt;&lt;titles&gt;&lt;title&gt;Clinical practice guidelines PSA testing and early management of test-detected prostate cancer&lt;/title&gt;&lt;/titles&gt;&lt;number&gt;23 August 2021&lt;/number&gt;&lt;dates&gt;&lt;year&gt;2015&lt;/year&gt;&lt;/dates&gt;&lt;pub-location&gt;Sydney&lt;/pub-location&gt;&lt;publisher&gt;Cancer Council Australia,&lt;/publisher&gt;&lt;urls&gt;&lt;related-urls&gt;&lt;url&gt;https://wiki.cancer.org.au/australia/Guidelines:PSA_Testing/Active_surveillance&lt;/url&gt;&lt;/related-urls&gt;&lt;/urls&gt;&lt;/record&gt;&lt;/Cite&gt;&lt;/EndNote&gt;</w:instrText>
      </w:r>
      <w:r>
        <w:rPr>
          <w:szCs w:val="20"/>
        </w:rPr>
        <w:fldChar w:fldCharType="separate"/>
      </w:r>
      <w:r w:rsidRPr="007649C1">
        <w:rPr>
          <w:noProof/>
          <w:szCs w:val="20"/>
          <w:vertAlign w:val="superscript"/>
        </w:rPr>
        <w:t>8, 9</w:t>
      </w:r>
      <w:r>
        <w:rPr>
          <w:szCs w:val="20"/>
        </w:rPr>
        <w:fldChar w:fldCharType="end"/>
      </w:r>
      <w:r w:rsidRPr="00A9018F">
        <w:rPr>
          <w:szCs w:val="20"/>
        </w:rPr>
        <w:t xml:space="preserve"> </w:t>
      </w:r>
    </w:p>
    <w:p w14:paraId="1CA19AEE" w14:textId="77777777" w:rsidR="00D1758D" w:rsidRPr="00953160" w:rsidRDefault="00953160" w:rsidP="00D14B60">
      <w:pPr>
        <w:rPr>
          <w:szCs w:val="20"/>
        </w:rPr>
      </w:pPr>
      <w:bookmarkStart w:id="140" w:name="_Hlk81845194"/>
      <w:r w:rsidRPr="00A9018F">
        <w:rPr>
          <w:szCs w:val="20"/>
        </w:rPr>
        <w:t>In addition to their role in initial diagnosis, the procedures of PSA</w:t>
      </w:r>
      <w:r w:rsidRPr="00953160">
        <w:footnoteReference w:id="25"/>
      </w:r>
      <w:r w:rsidRPr="00A9018F">
        <w:rPr>
          <w:szCs w:val="20"/>
        </w:rPr>
        <w:t xml:space="preserve"> testing and MRI scans of the prostate may also be employed as part of active surveillance to monitor the progress of the disease and </w:t>
      </w:r>
      <w:r w:rsidRPr="00D14B60">
        <w:rPr>
          <w:iCs/>
          <w:szCs w:val="20"/>
        </w:rPr>
        <w:t>determine</w:t>
      </w:r>
      <w:r w:rsidRPr="00A9018F">
        <w:rPr>
          <w:szCs w:val="20"/>
        </w:rPr>
        <w:t xml:space="preserve"> if further treatment may be indicated. For more advanced cancers, these procedures may also be employed as part of watchful waiting strategies to monitor the need for palliative treatments. Within the context of the current analyses utilising MBS claims data, separate item codes are used to indicate that these procedures were for the monitoring/ assessment of previously diagnosed disease.</w:t>
      </w:r>
      <w:bookmarkEnd w:id="140"/>
    </w:p>
    <w:p w14:paraId="7EC15ADF" w14:textId="77777777" w:rsidR="00517B20" w:rsidRPr="00517B20" w:rsidRDefault="00517B20" w:rsidP="00517B20">
      <w:pPr>
        <w:pStyle w:val="Heading4"/>
        <w:rPr>
          <w:bCs w:val="0"/>
        </w:rPr>
      </w:pPr>
      <w:r w:rsidRPr="00D144B1">
        <w:rPr>
          <w:bCs w:val="0"/>
        </w:rPr>
        <w:lastRenderedPageBreak/>
        <w:t xml:space="preserve">Surgical therapeutic procedures </w:t>
      </w:r>
    </w:p>
    <w:p w14:paraId="5AC828FA" w14:textId="77777777" w:rsidR="00953160" w:rsidRPr="00A9018F" w:rsidRDefault="00953160" w:rsidP="00D14B60">
      <w:pPr>
        <w:rPr>
          <w:szCs w:val="20"/>
        </w:rPr>
      </w:pPr>
      <w:bookmarkStart w:id="141" w:name="_Hlk80200400"/>
      <w:bookmarkStart w:id="142" w:name="_Ref79626578"/>
      <w:bookmarkStart w:id="143" w:name="_Toc83365215"/>
      <w:bookmarkStart w:id="144" w:name="_Hlk83622098"/>
      <w:r w:rsidRPr="00A9018F">
        <w:rPr>
          <w:szCs w:val="20"/>
        </w:rPr>
        <w:t>A range of procedures is used in the treatment of prostate cancer, including both surgical and non-surgical procedures (including ablative procedures and external beam radiotherapy and brachytherapy).</w:t>
      </w:r>
      <w:r>
        <w:rPr>
          <w:szCs w:val="20"/>
        </w:rPr>
        <w:t xml:space="preserve"> </w:t>
      </w:r>
      <w:r w:rsidRPr="00A9018F">
        <w:rPr>
          <w:szCs w:val="20"/>
        </w:rPr>
        <w:t xml:space="preserve">Prostate cancer-related surgical procedures are largely prostatectomy procedures (i.e. </w:t>
      </w:r>
      <w:r w:rsidRPr="00D14B60">
        <w:rPr>
          <w:iCs/>
          <w:szCs w:val="20"/>
        </w:rPr>
        <w:t>removal</w:t>
      </w:r>
      <w:r w:rsidRPr="00A9018F">
        <w:rPr>
          <w:szCs w:val="20"/>
        </w:rPr>
        <w:t xml:space="preserve"> of the prostate), and options may include both endoscopic and open procedures, and radical prostatectomy which may include pelvic lymphadenectomy. </w:t>
      </w:r>
    </w:p>
    <w:p w14:paraId="4BD8E459" w14:textId="77777777" w:rsidR="00953160" w:rsidRPr="00A9018F" w:rsidRDefault="00953160" w:rsidP="00D14B60">
      <w:pPr>
        <w:rPr>
          <w:szCs w:val="20"/>
        </w:rPr>
      </w:pPr>
      <w:r w:rsidRPr="00A9018F">
        <w:rPr>
          <w:szCs w:val="20"/>
        </w:rPr>
        <w:t xml:space="preserve">A second grouping of prostate cancer-related procedures includes prostate ablation, which encompasses </w:t>
      </w:r>
      <w:r w:rsidRPr="00D14B60">
        <w:rPr>
          <w:iCs/>
          <w:szCs w:val="20"/>
        </w:rPr>
        <w:t>transurethral</w:t>
      </w:r>
      <w:r w:rsidRPr="00A9018F">
        <w:rPr>
          <w:szCs w:val="20"/>
        </w:rPr>
        <w:t xml:space="preserve"> radiofrequency needle ablation (TUNA), endoscopic laser ablation procedures and transurethral microwave thermotherapy procedures. These procedures are used in the treatment of prostatic disease, although predominantly for treatment of benign disease i.e. benign prostate hyperplasia (BPH).</w:t>
      </w:r>
    </w:p>
    <w:bookmarkEnd w:id="141"/>
    <w:p w14:paraId="5ABD08E4" w14:textId="77777777" w:rsidR="00953160" w:rsidRDefault="00953160" w:rsidP="00D14B60">
      <w:pPr>
        <w:rPr>
          <w:szCs w:val="20"/>
        </w:rPr>
      </w:pPr>
      <w:r w:rsidRPr="00CD2716">
        <w:rPr>
          <w:szCs w:val="20"/>
        </w:rPr>
        <w:t xml:space="preserve">Treatment options for radiotherapy for prostate cancer include both external beam radiotherapy (EBRT) delivery via linear accelerators (LINAC) and brachytherapy. Monitoring of changes to EBRT </w:t>
      </w:r>
      <w:r w:rsidRPr="00D14B60">
        <w:rPr>
          <w:iCs/>
          <w:szCs w:val="20"/>
        </w:rPr>
        <w:t>LINAC</w:t>
      </w:r>
      <w:r w:rsidRPr="00CD2716">
        <w:rPr>
          <w:szCs w:val="20"/>
        </w:rPr>
        <w:t xml:space="preserve"> delivery is outside the scope of this report</w:t>
      </w:r>
      <w:r w:rsidRPr="00CD2716">
        <w:rPr>
          <w:vertAlign w:val="superscript"/>
        </w:rPr>
        <w:footnoteReference w:id="26"/>
      </w:r>
      <w:r w:rsidRPr="00CD2716">
        <w:rPr>
          <w:szCs w:val="20"/>
        </w:rPr>
        <w:t>. Brachytherapy delivery procedures include implantation of catheters and radioactive seeds for high dose rate (HDR) and low dose rate (LDR) brachytherapy, respectively.</w:t>
      </w:r>
    </w:p>
    <w:p w14:paraId="210AF583" w14:textId="77777777" w:rsidR="00953160" w:rsidRDefault="00953160" w:rsidP="00D14B60">
      <w:pPr>
        <w:rPr>
          <w:szCs w:val="20"/>
        </w:rPr>
      </w:pPr>
      <w:r>
        <w:rPr>
          <w:szCs w:val="20"/>
        </w:rPr>
        <w:t xml:space="preserve">Definitive therapeutic </w:t>
      </w:r>
      <w:r w:rsidRPr="00CD2716">
        <w:rPr>
          <w:szCs w:val="20"/>
        </w:rPr>
        <w:t>procedures examined in these analyses included</w:t>
      </w:r>
      <w:r>
        <w:rPr>
          <w:szCs w:val="20"/>
        </w:rPr>
        <w:t xml:space="preserve"> prostatectomy surgeries, prostate </w:t>
      </w:r>
      <w:r w:rsidRPr="00D14B60">
        <w:rPr>
          <w:iCs/>
          <w:szCs w:val="20"/>
        </w:rPr>
        <w:t>ablation</w:t>
      </w:r>
      <w:r>
        <w:rPr>
          <w:szCs w:val="20"/>
        </w:rPr>
        <w:t xml:space="preserve"> procedures and brachytherapy delivery procedures.</w:t>
      </w:r>
    </w:p>
    <w:p w14:paraId="3C795E88" w14:textId="4188035C" w:rsidR="00953160" w:rsidRPr="00973BF3" w:rsidRDefault="00953160" w:rsidP="00D14B60">
      <w:pPr>
        <w:rPr>
          <w:szCs w:val="20"/>
        </w:rPr>
      </w:pPr>
      <w:bookmarkStart w:id="145" w:name="_Hlk81845253"/>
      <w:r w:rsidRPr="00973BF3">
        <w:rPr>
          <w:szCs w:val="20"/>
        </w:rPr>
        <w:t xml:space="preserve">In 2020, the </w:t>
      </w:r>
      <w:r w:rsidRPr="00D14B60">
        <w:rPr>
          <w:iCs/>
          <w:szCs w:val="20"/>
        </w:rPr>
        <w:t>observed</w:t>
      </w:r>
      <w:r w:rsidRPr="00973BF3">
        <w:rPr>
          <w:szCs w:val="20"/>
        </w:rPr>
        <w:t xml:space="preserve"> number of services nationally for </w:t>
      </w:r>
      <w:r w:rsidRPr="00973BF3">
        <w:rPr>
          <w:noProof/>
          <w:szCs w:val="20"/>
        </w:rPr>
        <w:t xml:space="preserve">prostate cancer-related </w:t>
      </w:r>
      <w:r>
        <w:rPr>
          <w:noProof/>
          <w:szCs w:val="20"/>
        </w:rPr>
        <w:t>surgical and non-surgical therapeutic procedures</w:t>
      </w:r>
      <w:r w:rsidRPr="00973BF3">
        <w:rPr>
          <w:noProof/>
          <w:szCs w:val="20"/>
        </w:rPr>
        <w:t xml:space="preserve"> </w:t>
      </w:r>
      <w:r w:rsidRPr="00973BF3">
        <w:rPr>
          <w:szCs w:val="20"/>
        </w:rPr>
        <w:t xml:space="preserve">was </w:t>
      </w:r>
      <w:r w:rsidRPr="00973BF3">
        <w:rPr>
          <w:noProof/>
          <w:szCs w:val="20"/>
        </w:rPr>
        <w:t>similar to expected</w:t>
      </w:r>
      <w:r>
        <w:rPr>
          <w:noProof/>
          <w:szCs w:val="20"/>
        </w:rPr>
        <w:t>, that is, less than 5% difference</w:t>
      </w:r>
      <w:r w:rsidRPr="00973BF3">
        <w:rPr>
          <w:noProof/>
          <w:szCs w:val="20"/>
        </w:rPr>
        <w:t xml:space="preserve"> </w:t>
      </w:r>
      <w:r>
        <w:rPr>
          <w:szCs w:val="20"/>
        </w:rPr>
        <w:t xml:space="preserve">(2% lower, 535 fewer services; </w:t>
      </w:r>
      <w:r w:rsidRPr="00973BF3">
        <w:rPr>
          <w:noProof/>
          <w:szCs w:val="20"/>
        </w:rPr>
        <w:t>21,662</w:t>
      </w:r>
      <w:r>
        <w:rPr>
          <w:noProof/>
          <w:szCs w:val="20"/>
        </w:rPr>
        <w:t xml:space="preserve"> services observed versus </w:t>
      </w:r>
      <w:r w:rsidRPr="00973BF3">
        <w:rPr>
          <w:noProof/>
          <w:szCs w:val="20"/>
        </w:rPr>
        <w:t>22,19</w:t>
      </w:r>
      <w:r>
        <w:rPr>
          <w:noProof/>
          <w:szCs w:val="20"/>
        </w:rPr>
        <w:t>7</w:t>
      </w:r>
      <w:r w:rsidRPr="00973BF3">
        <w:rPr>
          <w:noProof/>
          <w:szCs w:val="20"/>
        </w:rPr>
        <w:t xml:space="preserve"> </w:t>
      </w:r>
      <w:r>
        <w:rPr>
          <w:noProof/>
          <w:szCs w:val="20"/>
        </w:rPr>
        <w:t>services expected)</w:t>
      </w:r>
      <w:r>
        <w:t xml:space="preserve"> </w:t>
      </w:r>
      <w:r w:rsidR="00914671">
        <w:t>[</w:t>
      </w:r>
      <w:r w:rsidR="00914671" w:rsidRPr="0096072B">
        <w:fldChar w:fldCharType="begin"/>
      </w:r>
      <w:r w:rsidR="00914671" w:rsidRPr="0096072B">
        <w:instrText xml:space="preserve"> REF _Ref79624062 \h  \* MERGEFORMAT </w:instrText>
      </w:r>
      <w:r w:rsidR="00914671" w:rsidRPr="0096072B">
        <w:fldChar w:fldCharType="separate"/>
      </w:r>
      <w:r w:rsidR="00914671">
        <w:t xml:space="preserve">Table </w:t>
      </w:r>
      <w:r w:rsidR="00914671">
        <w:rPr>
          <w:noProof/>
        </w:rPr>
        <w:t>2</w:t>
      </w:r>
      <w:r w:rsidR="00914671" w:rsidRPr="0096072B">
        <w:fldChar w:fldCharType="end"/>
      </w:r>
      <w:r w:rsidR="00914671" w:rsidRPr="0096072B">
        <w:t xml:space="preserve">; </w:t>
      </w:r>
      <w:r w:rsidR="00914671">
        <w:t>Figure 2]</w:t>
      </w:r>
      <w:r w:rsidR="00914671" w:rsidRPr="0096072B">
        <w:rPr>
          <w:szCs w:val="20"/>
        </w:rPr>
        <w:t>.</w:t>
      </w:r>
    </w:p>
    <w:p w14:paraId="172C6D3D" w14:textId="77777777" w:rsidR="00953160" w:rsidRDefault="00953160" w:rsidP="00D14B60">
      <w:pPr>
        <w:rPr>
          <w:szCs w:val="20"/>
        </w:rPr>
      </w:pPr>
      <w:r w:rsidRPr="00973BF3">
        <w:rPr>
          <w:szCs w:val="20"/>
        </w:rPr>
        <w:t xml:space="preserve">The observed </w:t>
      </w:r>
      <w:r w:rsidRPr="00D14B60">
        <w:rPr>
          <w:iCs/>
          <w:szCs w:val="20"/>
        </w:rPr>
        <w:t>number</w:t>
      </w:r>
      <w:r w:rsidRPr="00973BF3">
        <w:rPr>
          <w:szCs w:val="20"/>
        </w:rPr>
        <w:t xml:space="preserve"> of </w:t>
      </w:r>
      <w:r>
        <w:rPr>
          <w:szCs w:val="20"/>
        </w:rPr>
        <w:t>services for 2020</w:t>
      </w:r>
      <w:r w:rsidRPr="00973BF3">
        <w:rPr>
          <w:szCs w:val="20"/>
        </w:rPr>
        <w:t xml:space="preserve"> </w:t>
      </w:r>
      <w:r>
        <w:rPr>
          <w:szCs w:val="20"/>
        </w:rPr>
        <w:t xml:space="preserve">was </w:t>
      </w:r>
      <w:r w:rsidRPr="00973BF3">
        <w:rPr>
          <w:szCs w:val="20"/>
        </w:rPr>
        <w:t xml:space="preserve">6% lower than expected for </w:t>
      </w:r>
      <w:r>
        <w:rPr>
          <w:szCs w:val="20"/>
        </w:rPr>
        <w:t xml:space="preserve">VIC/TAS. </w:t>
      </w:r>
      <w:r w:rsidRPr="00973BF3">
        <w:rPr>
          <w:szCs w:val="20"/>
        </w:rPr>
        <w:t>The observed number of services</w:t>
      </w:r>
      <w:r>
        <w:rPr>
          <w:szCs w:val="20"/>
        </w:rPr>
        <w:t xml:space="preserve"> was</w:t>
      </w:r>
      <w:r w:rsidRPr="00973BF3">
        <w:rPr>
          <w:szCs w:val="20"/>
        </w:rPr>
        <w:t xml:space="preserve"> similar to expected</w:t>
      </w:r>
      <w:r>
        <w:rPr>
          <w:szCs w:val="20"/>
        </w:rPr>
        <w:t xml:space="preserve"> for </w:t>
      </w:r>
      <w:bookmarkStart w:id="146" w:name="_Hlk84948314"/>
      <w:r>
        <w:rPr>
          <w:szCs w:val="20"/>
        </w:rPr>
        <w:t>NSW/ACT</w:t>
      </w:r>
      <w:r w:rsidRPr="00973BF3">
        <w:rPr>
          <w:szCs w:val="20"/>
        </w:rPr>
        <w:t xml:space="preserve">, </w:t>
      </w:r>
      <w:r>
        <w:rPr>
          <w:szCs w:val="20"/>
        </w:rPr>
        <w:t>QLD,</w:t>
      </w:r>
      <w:r w:rsidRPr="00973BF3">
        <w:rPr>
          <w:szCs w:val="20"/>
        </w:rPr>
        <w:t xml:space="preserve"> </w:t>
      </w:r>
      <w:r>
        <w:rPr>
          <w:szCs w:val="20"/>
        </w:rPr>
        <w:t>SA/NT and WA</w:t>
      </w:r>
      <w:bookmarkEnd w:id="146"/>
      <w:r w:rsidRPr="005A01DC">
        <w:rPr>
          <w:szCs w:val="20"/>
        </w:rPr>
        <w:t xml:space="preserve"> </w:t>
      </w:r>
      <w:r w:rsidR="00544365" w:rsidRPr="004F3E26">
        <w:rPr>
          <w:szCs w:val="20"/>
        </w:rPr>
        <w:t>[Table B</w:t>
      </w:r>
      <w:r w:rsidR="00544365">
        <w:rPr>
          <w:szCs w:val="20"/>
        </w:rPr>
        <w:t>2</w:t>
      </w:r>
      <w:r w:rsidR="00544365" w:rsidRPr="004F3E26">
        <w:rPr>
          <w:szCs w:val="20"/>
        </w:rPr>
        <w:t xml:space="preserve">; Figure </w:t>
      </w:r>
      <w:r w:rsidR="00544365">
        <w:rPr>
          <w:szCs w:val="20"/>
        </w:rPr>
        <w:t>2.7-a</w:t>
      </w:r>
      <w:r>
        <w:rPr>
          <w:szCs w:val="20"/>
        </w:rPr>
        <w:t>]</w:t>
      </w:r>
      <w:r w:rsidRPr="00973BF3">
        <w:rPr>
          <w:szCs w:val="20"/>
        </w:rPr>
        <w:t xml:space="preserve">. </w:t>
      </w:r>
      <w:r>
        <w:rPr>
          <w:szCs w:val="20"/>
        </w:rPr>
        <w:t>For each state/territory:</w:t>
      </w:r>
    </w:p>
    <w:p w14:paraId="1E676ADE" w14:textId="77777777" w:rsidR="00953160" w:rsidRPr="006C734A" w:rsidRDefault="00953160" w:rsidP="00D14B60">
      <w:pPr>
        <w:pStyle w:val="ListParagraph"/>
        <w:numPr>
          <w:ilvl w:val="0"/>
          <w:numId w:val="6"/>
        </w:numPr>
        <w:spacing w:line="280" w:lineRule="atLeast"/>
        <w:ind w:left="714" w:hanging="357"/>
        <w:jc w:val="both"/>
        <w:rPr>
          <w:rFonts w:ascii="Century Gothic" w:hAnsi="Century Gothic"/>
          <w:sz w:val="20"/>
          <w:szCs w:val="20"/>
        </w:rPr>
      </w:pPr>
      <w:bookmarkStart w:id="147" w:name="_Hlk81484744"/>
      <w:r w:rsidRPr="005E7A02">
        <w:rPr>
          <w:rFonts w:ascii="Century Gothic" w:hAnsi="Century Gothic"/>
          <w:sz w:val="20"/>
          <w:szCs w:val="20"/>
        </w:rPr>
        <w:t xml:space="preserve">The observed number of services was </w:t>
      </w:r>
      <w:r w:rsidRPr="00953160">
        <w:rPr>
          <w:rFonts w:ascii="Century Gothic" w:hAnsi="Century Gothic"/>
          <w:noProof/>
          <w:color w:val="000000"/>
          <w:sz w:val="20"/>
          <w:szCs w:val="20"/>
        </w:rPr>
        <w:t xml:space="preserve">6% lower than expected for VIC/TAS, with 453 fewer services (6,749 services observed versus 7,202 services expected). </w:t>
      </w:r>
      <w:r w:rsidRPr="005E7A02">
        <w:rPr>
          <w:rFonts w:ascii="Century Gothic" w:hAnsi="Century Gothic"/>
          <w:sz w:val="20"/>
          <w:szCs w:val="20"/>
        </w:rPr>
        <w:t xml:space="preserve">The observed number of services was similar to expected for WA (3% lower), with 73 fewer services </w:t>
      </w:r>
      <w:r w:rsidRPr="00953160">
        <w:rPr>
          <w:rFonts w:ascii="Century Gothic" w:hAnsi="Century Gothic"/>
          <w:noProof/>
          <w:color w:val="000000"/>
          <w:sz w:val="20"/>
          <w:szCs w:val="20"/>
        </w:rPr>
        <w:t>(2,203 services observed versus 2,276 services expected</w:t>
      </w:r>
      <w:r w:rsidRPr="005E7A02">
        <w:rPr>
          <w:rFonts w:ascii="Century Gothic" w:hAnsi="Century Gothic"/>
          <w:sz w:val="20"/>
          <w:szCs w:val="20"/>
        </w:rPr>
        <w:t xml:space="preserve">); NSW/ACT (1% lower), with 55 fewer services </w:t>
      </w:r>
      <w:r w:rsidRPr="00953160">
        <w:rPr>
          <w:rFonts w:ascii="Century Gothic" w:hAnsi="Century Gothic"/>
          <w:noProof/>
          <w:color w:val="000000"/>
          <w:sz w:val="20"/>
          <w:szCs w:val="20"/>
        </w:rPr>
        <w:t>(7,078 services observed versus 7,133 services expected</w:t>
      </w:r>
      <w:r w:rsidRPr="005E7A02">
        <w:rPr>
          <w:rFonts w:ascii="Century Gothic" w:hAnsi="Century Gothic"/>
          <w:sz w:val="20"/>
          <w:szCs w:val="20"/>
        </w:rPr>
        <w:t xml:space="preserve">); QLD (1% higher), with 45 more services </w:t>
      </w:r>
      <w:r w:rsidRPr="00953160">
        <w:rPr>
          <w:rFonts w:ascii="Century Gothic" w:hAnsi="Century Gothic"/>
          <w:noProof/>
          <w:color w:val="000000"/>
          <w:sz w:val="20"/>
          <w:szCs w:val="20"/>
        </w:rPr>
        <w:t>(3,886 services observed versus 3,841 services expected</w:t>
      </w:r>
      <w:r w:rsidRPr="005E7A02">
        <w:rPr>
          <w:rFonts w:ascii="Century Gothic" w:hAnsi="Century Gothic"/>
          <w:sz w:val="20"/>
          <w:szCs w:val="20"/>
        </w:rPr>
        <w:t xml:space="preserve">); and SA/NT (0% difference), with 1 more service </w:t>
      </w:r>
      <w:r w:rsidRPr="00953160">
        <w:rPr>
          <w:rFonts w:ascii="Century Gothic" w:hAnsi="Century Gothic"/>
          <w:noProof/>
          <w:color w:val="000000"/>
          <w:sz w:val="20"/>
          <w:szCs w:val="20"/>
        </w:rPr>
        <w:t>(1,746 services observed versus 1,745 services expected</w:t>
      </w:r>
      <w:r w:rsidRPr="005E7A02">
        <w:rPr>
          <w:rFonts w:ascii="Century Gothic" w:hAnsi="Century Gothic"/>
          <w:sz w:val="20"/>
          <w:szCs w:val="20"/>
        </w:rPr>
        <w:t xml:space="preserve">) </w:t>
      </w:r>
      <w:r w:rsidR="00544365" w:rsidRPr="00544365">
        <w:rPr>
          <w:rFonts w:ascii="Century Gothic" w:hAnsi="Century Gothic"/>
          <w:sz w:val="20"/>
          <w:szCs w:val="20"/>
        </w:rPr>
        <w:t>[Table B2; Figure 2.</w:t>
      </w:r>
      <w:r w:rsidR="00544365">
        <w:rPr>
          <w:rFonts w:ascii="Century Gothic" w:hAnsi="Century Gothic"/>
          <w:sz w:val="20"/>
          <w:szCs w:val="20"/>
        </w:rPr>
        <w:t>7-a</w:t>
      </w:r>
      <w:r w:rsidRPr="005E7A02">
        <w:rPr>
          <w:rFonts w:ascii="Century Gothic" w:hAnsi="Century Gothic"/>
          <w:sz w:val="20"/>
          <w:szCs w:val="20"/>
        </w:rPr>
        <w:t>].</w:t>
      </w:r>
      <w:bookmarkEnd w:id="147"/>
    </w:p>
    <w:p w14:paraId="007B98D9" w14:textId="77777777" w:rsidR="00953160" w:rsidRPr="00953160" w:rsidRDefault="00953160" w:rsidP="00D14B60">
      <w:pPr>
        <w:rPr>
          <w:szCs w:val="20"/>
        </w:rPr>
      </w:pPr>
      <w:bookmarkStart w:id="148" w:name="_Hlk80089551"/>
      <w:bookmarkEnd w:id="145"/>
      <w:r>
        <w:rPr>
          <w:szCs w:val="20"/>
        </w:rPr>
        <w:t xml:space="preserve">The observed and </w:t>
      </w:r>
      <w:r w:rsidRPr="00D14B60">
        <w:rPr>
          <w:iCs/>
          <w:szCs w:val="20"/>
        </w:rPr>
        <w:t>expected</w:t>
      </w:r>
      <w:r>
        <w:rPr>
          <w:szCs w:val="20"/>
        </w:rPr>
        <w:t xml:space="preserve"> number of therapeutic services related to prostate cancer for 2020 for each state and territory are provided in Appendix </w:t>
      </w:r>
      <w:r w:rsidR="00544365">
        <w:rPr>
          <w:szCs w:val="20"/>
        </w:rPr>
        <w:t>Table B2</w:t>
      </w:r>
      <w:r w:rsidRPr="00395B12">
        <w:rPr>
          <w:szCs w:val="20"/>
        </w:rPr>
        <w:t>.</w:t>
      </w:r>
      <w:bookmarkEnd w:id="148"/>
    </w:p>
    <w:p w14:paraId="20A37A47" w14:textId="4797068A" w:rsidR="00517B20" w:rsidRDefault="00914671" w:rsidP="00517B20">
      <w:pPr>
        <w:pStyle w:val="FigureName"/>
        <w:spacing w:before="480" w:after="200"/>
        <w:ind w:left="1077" w:hanging="1077"/>
      </w:pPr>
      <w:bookmarkStart w:id="149" w:name="_Toc83720992"/>
      <w:bookmarkStart w:id="150" w:name="_Hlk84946204"/>
      <w:bookmarkEnd w:id="142"/>
      <w:r>
        <w:lastRenderedPageBreak/>
        <w:t>Figure 2.</w:t>
      </w:r>
      <w:r w:rsidR="00D14B60">
        <w:t>7</w:t>
      </w:r>
      <w:r>
        <w:t>-a</w:t>
      </w:r>
      <w:r>
        <w:tab/>
      </w:r>
      <w:r w:rsidR="00517B20" w:rsidRPr="00A2392D">
        <w:t xml:space="preserve">Annual observed and expected number of services for </w:t>
      </w:r>
      <w:r w:rsidR="00517B20">
        <w:t>prostate</w:t>
      </w:r>
      <w:r w:rsidR="00517B20" w:rsidRPr="00A2392D">
        <w:t xml:space="preserve"> cancer-related </w:t>
      </w:r>
      <w:r w:rsidR="00517B20">
        <w:t>therapeutic procedures</w:t>
      </w:r>
      <w:r w:rsidR="00517B20" w:rsidRPr="00A2392D">
        <w:t xml:space="preserve"> in 2020, by jurisdiction</w:t>
      </w:r>
      <w:bookmarkEnd w:id="143"/>
      <w:bookmarkEnd w:id="149"/>
    </w:p>
    <w:p w14:paraId="3A96A72C" w14:textId="77777777" w:rsidR="00517B20" w:rsidRDefault="00834120" w:rsidP="00517B20">
      <w:pPr>
        <w:jc w:val="center"/>
        <w:rPr>
          <w:szCs w:val="20"/>
        </w:rPr>
      </w:pPr>
      <w:r w:rsidRPr="00517B20">
        <w:rPr>
          <w:noProof/>
          <w:szCs w:val="20"/>
        </w:rPr>
        <w:drawing>
          <wp:inline distT="0" distB="0" distL="0" distR="0" wp14:anchorId="7AF30D22" wp14:editId="1FAA31F9">
            <wp:extent cx="4467225" cy="2819400"/>
            <wp:effectExtent l="0" t="0" r="0" b="0"/>
            <wp:docPr id="17" name="Picture 1" descr="The figure is a column graph depicting the number of therapeutic procedures related to prostate cancer for each jurisdiction in 2020. Two bars are shown for each jurisdiction, one for the number of observed services and one for the number of expected services. The column bar for observed services is lower than the column bar for expected services for VIC and TAS combined. The observed and expected number of services are considered similar for jurisdictions including NSW and ACT combined, QLD, SA and NT combined and 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The figure is a column graph depicting the number of therapeutic procedures related to prostate cancer for each jurisdiction in 2020. Two bars are shown for each jurisdiction, one for the number of observed services and one for the number of expected services. The column bar for observed services is lower than the column bar for expected services for VIC and TAS combined. The observed and expected number of services are considered similar for jurisdictions including NSW and ACT combined, QLD, SA and NT combined and WA."/>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467225" cy="2819400"/>
                    </a:xfrm>
                    <a:prstGeom prst="rect">
                      <a:avLst/>
                    </a:prstGeom>
                    <a:noFill/>
                    <a:ln>
                      <a:noFill/>
                    </a:ln>
                  </pic:spPr>
                </pic:pic>
              </a:graphicData>
            </a:graphic>
          </wp:inline>
        </w:drawing>
      </w:r>
    </w:p>
    <w:bookmarkEnd w:id="144"/>
    <w:bookmarkEnd w:id="150"/>
    <w:p w14:paraId="40981CDC" w14:textId="77777777" w:rsidR="00517B20" w:rsidRPr="00D144B1" w:rsidRDefault="00517B20" w:rsidP="00517B20">
      <w:pPr>
        <w:pStyle w:val="Heading4"/>
        <w:rPr>
          <w:bCs w:val="0"/>
        </w:rPr>
      </w:pPr>
      <w:r w:rsidRPr="00D144B1">
        <w:rPr>
          <w:bCs w:val="0"/>
        </w:rPr>
        <w:t>Monitoring procedures for previously diagnosed disease</w:t>
      </w:r>
    </w:p>
    <w:p w14:paraId="26980C39" w14:textId="77777777" w:rsidR="00953160" w:rsidRDefault="00953160" w:rsidP="00D14B60">
      <w:pPr>
        <w:rPr>
          <w:szCs w:val="20"/>
        </w:rPr>
      </w:pPr>
      <w:bookmarkStart w:id="151" w:name="_Toc83365216"/>
      <w:bookmarkStart w:id="152" w:name="_Hlk83622726"/>
      <w:r w:rsidRPr="003C1518">
        <w:rPr>
          <w:noProof/>
          <w:szCs w:val="20"/>
        </w:rPr>
        <w:t>Monitoring</w:t>
      </w:r>
      <w:r w:rsidRPr="003C1518">
        <w:rPr>
          <w:szCs w:val="20"/>
        </w:rPr>
        <w:t xml:space="preserve"> procedures </w:t>
      </w:r>
      <w:r>
        <w:rPr>
          <w:szCs w:val="20"/>
        </w:rPr>
        <w:t xml:space="preserve">examined in these analyses included </w:t>
      </w:r>
      <w:r w:rsidRPr="002E3E86">
        <w:rPr>
          <w:szCs w:val="20"/>
        </w:rPr>
        <w:t>Multiparametric MRI scan for assessment of prostate cancer</w:t>
      </w:r>
      <w:r w:rsidRPr="00031186">
        <w:rPr>
          <w:szCs w:val="20"/>
          <w:vertAlign w:val="superscript"/>
        </w:rPr>
        <w:t>2</w:t>
      </w:r>
      <w:r w:rsidRPr="002E3E86">
        <w:rPr>
          <w:szCs w:val="20"/>
        </w:rPr>
        <w:t xml:space="preserve">; </w:t>
      </w:r>
      <w:r>
        <w:rPr>
          <w:szCs w:val="20"/>
        </w:rPr>
        <w:t>and q</w:t>
      </w:r>
      <w:r w:rsidRPr="002E3E86">
        <w:rPr>
          <w:szCs w:val="20"/>
        </w:rPr>
        <w:t xml:space="preserve">uantitation of PSA levels </w:t>
      </w:r>
      <w:r>
        <w:rPr>
          <w:szCs w:val="20"/>
        </w:rPr>
        <w:t xml:space="preserve">for </w:t>
      </w:r>
      <w:r w:rsidRPr="002E3E86">
        <w:rPr>
          <w:szCs w:val="20"/>
        </w:rPr>
        <w:t>previously diagnosed prostatic disease</w:t>
      </w:r>
      <w:r>
        <w:rPr>
          <w:szCs w:val="20"/>
        </w:rPr>
        <w:t>.</w:t>
      </w:r>
    </w:p>
    <w:p w14:paraId="3219BA8E" w14:textId="77777777" w:rsidR="00953160" w:rsidRPr="00B35156" w:rsidRDefault="00953160" w:rsidP="00D14B60">
      <w:pPr>
        <w:rPr>
          <w:szCs w:val="20"/>
        </w:rPr>
      </w:pPr>
      <w:r w:rsidRPr="00B35156">
        <w:rPr>
          <w:szCs w:val="20"/>
        </w:rPr>
        <w:t xml:space="preserve">In 2020, the observed number of </w:t>
      </w:r>
      <w:r w:rsidRPr="00D14B60">
        <w:rPr>
          <w:iCs/>
          <w:szCs w:val="20"/>
        </w:rPr>
        <w:t>services</w:t>
      </w:r>
      <w:r w:rsidRPr="00B35156">
        <w:rPr>
          <w:szCs w:val="20"/>
        </w:rPr>
        <w:t xml:space="preserve"> nationally for </w:t>
      </w:r>
      <w:r>
        <w:rPr>
          <w:szCs w:val="20"/>
        </w:rPr>
        <w:t>p</w:t>
      </w:r>
      <w:r w:rsidRPr="00B35156">
        <w:rPr>
          <w:noProof/>
          <w:szCs w:val="20"/>
        </w:rPr>
        <w:t xml:space="preserve">rostate cancer </w:t>
      </w:r>
      <w:r>
        <w:rPr>
          <w:noProof/>
          <w:szCs w:val="20"/>
        </w:rPr>
        <w:t>m</w:t>
      </w:r>
      <w:r w:rsidRPr="00B35156">
        <w:rPr>
          <w:noProof/>
          <w:szCs w:val="20"/>
        </w:rPr>
        <w:t xml:space="preserve">onitoring procedures </w:t>
      </w:r>
      <w:r w:rsidRPr="00B35156">
        <w:rPr>
          <w:szCs w:val="20"/>
        </w:rPr>
        <w:t xml:space="preserve">was </w:t>
      </w:r>
      <w:r w:rsidRPr="00B35156">
        <w:rPr>
          <w:noProof/>
          <w:szCs w:val="20"/>
        </w:rPr>
        <w:t>similar to expected</w:t>
      </w:r>
      <w:r>
        <w:rPr>
          <w:noProof/>
          <w:szCs w:val="20"/>
        </w:rPr>
        <w:t>, that is, less than 5% difference</w:t>
      </w:r>
      <w:r w:rsidRPr="00B35156">
        <w:rPr>
          <w:noProof/>
          <w:szCs w:val="20"/>
        </w:rPr>
        <w:t xml:space="preserve"> </w:t>
      </w:r>
      <w:r>
        <w:rPr>
          <w:szCs w:val="20"/>
        </w:rPr>
        <w:t xml:space="preserve">(2% higher, with 17,989 more services; </w:t>
      </w:r>
      <w:r w:rsidRPr="00B35156">
        <w:rPr>
          <w:noProof/>
          <w:szCs w:val="20"/>
        </w:rPr>
        <w:t>1,025,495</w:t>
      </w:r>
      <w:r>
        <w:rPr>
          <w:noProof/>
          <w:szCs w:val="20"/>
        </w:rPr>
        <w:t xml:space="preserve"> services observed versus </w:t>
      </w:r>
      <w:r w:rsidRPr="00B35156">
        <w:rPr>
          <w:noProof/>
          <w:szCs w:val="20"/>
        </w:rPr>
        <w:t xml:space="preserve">1,007,506 </w:t>
      </w:r>
      <w:r>
        <w:rPr>
          <w:noProof/>
          <w:szCs w:val="20"/>
        </w:rPr>
        <w:t>services expected)</w:t>
      </w:r>
      <w:r w:rsidRPr="00B35156">
        <w:rPr>
          <w:szCs w:val="20"/>
        </w:rPr>
        <w:t>.</w:t>
      </w:r>
    </w:p>
    <w:p w14:paraId="201696E1" w14:textId="77777777" w:rsidR="00953160" w:rsidRPr="00953160" w:rsidRDefault="00953160" w:rsidP="00D14B60">
      <w:pPr>
        <w:rPr>
          <w:szCs w:val="20"/>
        </w:rPr>
      </w:pPr>
      <w:r w:rsidRPr="00B35156">
        <w:rPr>
          <w:szCs w:val="20"/>
        </w:rPr>
        <w:t xml:space="preserve">The observed number of </w:t>
      </w:r>
      <w:r>
        <w:rPr>
          <w:szCs w:val="20"/>
        </w:rPr>
        <w:t>services for 2020</w:t>
      </w:r>
      <w:r w:rsidRPr="00B35156">
        <w:rPr>
          <w:szCs w:val="20"/>
        </w:rPr>
        <w:t xml:space="preserve"> was </w:t>
      </w:r>
      <w:r w:rsidRPr="00953160">
        <w:rPr>
          <w:szCs w:val="20"/>
        </w:rPr>
        <w:t xml:space="preserve">similar to those expected for most jurisdictions. The number of observed services was 10% higher than </w:t>
      </w:r>
      <w:r w:rsidRPr="00696BB3">
        <w:rPr>
          <w:szCs w:val="20"/>
        </w:rPr>
        <w:t xml:space="preserve">expected </w:t>
      </w:r>
      <w:r w:rsidRPr="00953160">
        <w:rPr>
          <w:szCs w:val="20"/>
        </w:rPr>
        <w:t>for WA</w:t>
      </w:r>
      <w:r w:rsidRPr="00696BB3">
        <w:rPr>
          <w:szCs w:val="20"/>
        </w:rPr>
        <w:t>.</w:t>
      </w:r>
      <w:r w:rsidRPr="00953160">
        <w:rPr>
          <w:szCs w:val="20"/>
        </w:rPr>
        <w:t xml:space="preserve"> </w:t>
      </w:r>
      <w:r>
        <w:rPr>
          <w:szCs w:val="20"/>
        </w:rPr>
        <w:t>The observed number of services was similar to expected for</w:t>
      </w:r>
      <w:r w:rsidRPr="00953160">
        <w:rPr>
          <w:szCs w:val="20"/>
        </w:rPr>
        <w:t xml:space="preserve"> NSW/ACT (4% higher), VIC/TAS (2% lower), QLD (0% difference), and </w:t>
      </w:r>
      <w:r>
        <w:rPr>
          <w:szCs w:val="20"/>
        </w:rPr>
        <w:t>SA/NT (1% higher)</w:t>
      </w:r>
      <w:r w:rsidRPr="00D30A94">
        <w:rPr>
          <w:szCs w:val="20"/>
        </w:rPr>
        <w:t xml:space="preserve"> </w:t>
      </w:r>
      <w:r w:rsidR="00544365" w:rsidRPr="004F3E26">
        <w:rPr>
          <w:szCs w:val="20"/>
        </w:rPr>
        <w:t>[Table B</w:t>
      </w:r>
      <w:r w:rsidR="00544365">
        <w:rPr>
          <w:szCs w:val="20"/>
        </w:rPr>
        <w:t>2</w:t>
      </w:r>
      <w:r w:rsidR="00544365" w:rsidRPr="004F3E26">
        <w:rPr>
          <w:szCs w:val="20"/>
        </w:rPr>
        <w:t xml:space="preserve">; Figure </w:t>
      </w:r>
      <w:r w:rsidR="00544365">
        <w:rPr>
          <w:szCs w:val="20"/>
        </w:rPr>
        <w:t>2.7-b]</w:t>
      </w:r>
      <w:r w:rsidRPr="00953160">
        <w:rPr>
          <w:szCs w:val="20"/>
        </w:rPr>
        <w:t xml:space="preserve">. </w:t>
      </w:r>
      <w:r>
        <w:rPr>
          <w:szCs w:val="20"/>
        </w:rPr>
        <w:t>For each state/territory:</w:t>
      </w:r>
    </w:p>
    <w:p w14:paraId="1DA6FF8C" w14:textId="77777777" w:rsidR="00953160" w:rsidRPr="006C734A" w:rsidRDefault="00953160" w:rsidP="00D14B60">
      <w:pPr>
        <w:pStyle w:val="ListParagraph"/>
        <w:numPr>
          <w:ilvl w:val="0"/>
          <w:numId w:val="6"/>
        </w:numPr>
        <w:spacing w:line="280" w:lineRule="atLeast"/>
        <w:ind w:left="714" w:hanging="357"/>
        <w:jc w:val="both"/>
        <w:rPr>
          <w:rFonts w:ascii="Century Gothic" w:hAnsi="Century Gothic"/>
          <w:sz w:val="20"/>
          <w:szCs w:val="20"/>
        </w:rPr>
      </w:pPr>
      <w:r w:rsidRPr="006C734A">
        <w:rPr>
          <w:rFonts w:ascii="Century Gothic" w:hAnsi="Century Gothic"/>
          <w:sz w:val="20"/>
          <w:szCs w:val="20"/>
        </w:rPr>
        <w:t xml:space="preserve">The observed number of services was </w:t>
      </w:r>
      <w:r w:rsidRPr="00953160">
        <w:rPr>
          <w:rFonts w:ascii="Century Gothic" w:hAnsi="Century Gothic"/>
          <w:noProof/>
          <w:color w:val="000000"/>
          <w:sz w:val="20"/>
          <w:szCs w:val="20"/>
        </w:rPr>
        <w:t xml:space="preserve">10% higher than expected for WA, with 8,986 more services (103,837 services observed versus 94,851 services expected). </w:t>
      </w:r>
      <w:r w:rsidRPr="006C734A">
        <w:rPr>
          <w:rFonts w:ascii="Century Gothic" w:hAnsi="Century Gothic"/>
          <w:sz w:val="20"/>
          <w:szCs w:val="20"/>
        </w:rPr>
        <w:t xml:space="preserve">The observed number of services was similar to expected for NSW/ACT (4% higher), with 14,311 more services </w:t>
      </w:r>
      <w:r w:rsidRPr="00953160">
        <w:rPr>
          <w:rFonts w:ascii="Century Gothic" w:hAnsi="Century Gothic"/>
          <w:noProof/>
          <w:color w:val="000000"/>
          <w:sz w:val="20"/>
          <w:szCs w:val="20"/>
        </w:rPr>
        <w:t>(370,754 services observed versus 356,443 services expected</w:t>
      </w:r>
      <w:r w:rsidRPr="006C734A">
        <w:rPr>
          <w:rFonts w:ascii="Century Gothic" w:hAnsi="Century Gothic"/>
          <w:sz w:val="20"/>
          <w:szCs w:val="20"/>
        </w:rPr>
        <w:t xml:space="preserve">); VIC/TAS (2% </w:t>
      </w:r>
      <w:r w:rsidRPr="00D14B60">
        <w:rPr>
          <w:rFonts w:ascii="Century Gothic" w:hAnsi="Century Gothic"/>
          <w:noProof/>
          <w:color w:val="000000"/>
          <w:sz w:val="20"/>
          <w:szCs w:val="20"/>
        </w:rPr>
        <w:t>lower</w:t>
      </w:r>
      <w:r w:rsidRPr="006C734A">
        <w:rPr>
          <w:rFonts w:ascii="Century Gothic" w:hAnsi="Century Gothic"/>
          <w:sz w:val="20"/>
          <w:szCs w:val="20"/>
        </w:rPr>
        <w:t xml:space="preserve">), with 5,346 fewer services </w:t>
      </w:r>
      <w:r w:rsidRPr="00953160">
        <w:rPr>
          <w:rFonts w:ascii="Century Gothic" w:hAnsi="Century Gothic"/>
          <w:noProof/>
          <w:color w:val="000000"/>
          <w:sz w:val="20"/>
          <w:szCs w:val="20"/>
        </w:rPr>
        <w:t>(273,244 services observed versus 278,590 services expected</w:t>
      </w:r>
      <w:r w:rsidRPr="006C734A">
        <w:rPr>
          <w:rFonts w:ascii="Century Gothic" w:hAnsi="Century Gothic"/>
          <w:sz w:val="20"/>
          <w:szCs w:val="20"/>
        </w:rPr>
        <w:t xml:space="preserve">); SA/NT (1% higher), with 463 more services </w:t>
      </w:r>
      <w:r w:rsidRPr="00953160">
        <w:rPr>
          <w:rFonts w:ascii="Century Gothic" w:hAnsi="Century Gothic"/>
          <w:noProof/>
          <w:color w:val="000000"/>
          <w:sz w:val="20"/>
          <w:szCs w:val="20"/>
        </w:rPr>
        <w:t>(70,162 services observed versus 69,699 services expected</w:t>
      </w:r>
      <w:r w:rsidRPr="006C734A">
        <w:rPr>
          <w:rFonts w:ascii="Century Gothic" w:hAnsi="Century Gothic"/>
          <w:sz w:val="20"/>
          <w:szCs w:val="20"/>
        </w:rPr>
        <w:t xml:space="preserve">); and QLD (0% difference), with 426 fewer services </w:t>
      </w:r>
      <w:r w:rsidRPr="00953160">
        <w:rPr>
          <w:rFonts w:ascii="Century Gothic" w:hAnsi="Century Gothic"/>
          <w:noProof/>
          <w:color w:val="000000"/>
          <w:sz w:val="20"/>
          <w:szCs w:val="20"/>
        </w:rPr>
        <w:t>(207,498 services observed versus 207,924 services expected</w:t>
      </w:r>
      <w:r w:rsidRPr="006C734A">
        <w:rPr>
          <w:rFonts w:ascii="Century Gothic" w:hAnsi="Century Gothic"/>
          <w:sz w:val="20"/>
          <w:szCs w:val="20"/>
        </w:rPr>
        <w:t xml:space="preserve">) </w:t>
      </w:r>
      <w:r w:rsidR="00544365" w:rsidRPr="00544365">
        <w:rPr>
          <w:rFonts w:ascii="Century Gothic" w:hAnsi="Century Gothic"/>
          <w:sz w:val="20"/>
          <w:szCs w:val="20"/>
        </w:rPr>
        <w:t>[Table B2; Figure 2.</w:t>
      </w:r>
      <w:r w:rsidR="00544365">
        <w:rPr>
          <w:rFonts w:ascii="Century Gothic" w:hAnsi="Century Gothic"/>
          <w:sz w:val="20"/>
          <w:szCs w:val="20"/>
        </w:rPr>
        <w:t>7-b</w:t>
      </w:r>
      <w:r w:rsidRPr="006C734A">
        <w:rPr>
          <w:rFonts w:ascii="Century Gothic" w:hAnsi="Century Gothic"/>
          <w:sz w:val="20"/>
          <w:szCs w:val="20"/>
        </w:rPr>
        <w:t>].</w:t>
      </w:r>
    </w:p>
    <w:p w14:paraId="2AA64E1D" w14:textId="77777777" w:rsidR="00953160" w:rsidRPr="00953160" w:rsidRDefault="00953160" w:rsidP="00D14B60">
      <w:pPr>
        <w:rPr>
          <w:szCs w:val="20"/>
        </w:rPr>
      </w:pPr>
      <w:r w:rsidRPr="00953160">
        <w:rPr>
          <w:szCs w:val="20"/>
        </w:rPr>
        <w:t xml:space="preserve">The observed and expected number of monitoring services related to prostate cancer for 2020 for each state and </w:t>
      </w:r>
      <w:r w:rsidRPr="00D14B60">
        <w:rPr>
          <w:iCs/>
          <w:szCs w:val="20"/>
        </w:rPr>
        <w:t>territory</w:t>
      </w:r>
      <w:r w:rsidRPr="00953160">
        <w:rPr>
          <w:szCs w:val="20"/>
        </w:rPr>
        <w:t xml:space="preserve"> are provided in Appendix </w:t>
      </w:r>
      <w:r w:rsidR="00544365">
        <w:rPr>
          <w:szCs w:val="20"/>
        </w:rPr>
        <w:t>Table B2</w:t>
      </w:r>
      <w:r w:rsidRPr="00953160">
        <w:rPr>
          <w:szCs w:val="20"/>
        </w:rPr>
        <w:t>.</w:t>
      </w:r>
    </w:p>
    <w:p w14:paraId="490F877A" w14:textId="5D61E062" w:rsidR="00517B20" w:rsidRDefault="00914671" w:rsidP="00517B20">
      <w:pPr>
        <w:pStyle w:val="FigureName"/>
        <w:spacing w:before="480" w:after="200"/>
        <w:ind w:left="1077" w:hanging="1077"/>
      </w:pPr>
      <w:bookmarkStart w:id="153" w:name="_Toc83720993"/>
      <w:bookmarkStart w:id="154" w:name="_Hlk84946213"/>
      <w:r>
        <w:lastRenderedPageBreak/>
        <w:t>Figure 2.</w:t>
      </w:r>
      <w:r w:rsidR="00D14B60">
        <w:t>7-</w:t>
      </w:r>
      <w:r>
        <w:t>b</w:t>
      </w:r>
      <w:r>
        <w:tab/>
      </w:r>
      <w:r w:rsidR="00517B20" w:rsidRPr="009D3F64">
        <w:t xml:space="preserve">Annual observed and expected number of services for </w:t>
      </w:r>
      <w:r w:rsidR="00517B20">
        <w:t>prostate</w:t>
      </w:r>
      <w:r w:rsidR="00517B20" w:rsidRPr="009D3F64">
        <w:t xml:space="preserve"> cancer-related</w:t>
      </w:r>
      <w:r w:rsidR="00517B20">
        <w:t xml:space="preserve"> monitoring procedures</w:t>
      </w:r>
      <w:r w:rsidR="00517B20" w:rsidRPr="009D3F64">
        <w:t xml:space="preserve"> in 2020, by jurisdiction</w:t>
      </w:r>
      <w:bookmarkEnd w:id="151"/>
      <w:bookmarkEnd w:id="153"/>
    </w:p>
    <w:p w14:paraId="73CD1E19" w14:textId="77777777" w:rsidR="00517B20" w:rsidRPr="00517B20" w:rsidRDefault="00834120" w:rsidP="00517B20">
      <w:pPr>
        <w:spacing w:line="360" w:lineRule="auto"/>
        <w:jc w:val="center"/>
        <w:rPr>
          <w:szCs w:val="20"/>
        </w:rPr>
      </w:pPr>
      <w:r w:rsidRPr="00517B20">
        <w:rPr>
          <w:noProof/>
          <w:szCs w:val="20"/>
        </w:rPr>
        <w:drawing>
          <wp:inline distT="0" distB="0" distL="0" distR="0" wp14:anchorId="4DF4F7D9" wp14:editId="65652062">
            <wp:extent cx="4457700" cy="2819400"/>
            <wp:effectExtent l="0" t="0" r="0" b="0"/>
            <wp:docPr id="18" name="Picture 4" descr="The figure is a column graph depicting the number of monitoring procedures related to prostate cancer for each jurisdiction in 2020. Two bars are shown for each jurisdiction, one for the number of observed services and one for the number of expected services. The column bar for observed services is higher than the column bar for expected services for WA. The observed and expected number of services are considered similar for jurisdictions including NSW and ACT combined, VIC and TAS combined, QLD and SA and NT comb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4" descr="The figure is a column graph depicting the number of monitoring procedures related to prostate cancer for each jurisdiction in 2020. Two bars are shown for each jurisdiction, one for the number of observed services and one for the number of expected services. The column bar for observed services is higher than the column bar for expected services for WA. The observed and expected number of services are considered similar for jurisdictions including NSW and ACT combined, VIC and TAS combined, QLD and SA and NT combin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57700" cy="2819400"/>
                    </a:xfrm>
                    <a:prstGeom prst="rect">
                      <a:avLst/>
                    </a:prstGeom>
                    <a:noFill/>
                    <a:ln>
                      <a:noFill/>
                    </a:ln>
                  </pic:spPr>
                </pic:pic>
              </a:graphicData>
            </a:graphic>
          </wp:inline>
        </w:drawing>
      </w:r>
    </w:p>
    <w:bookmarkEnd w:id="152"/>
    <w:bookmarkEnd w:id="154"/>
    <w:p w14:paraId="1F088990" w14:textId="77777777" w:rsidR="00D1758D" w:rsidRDefault="00D1758D" w:rsidP="00D1758D"/>
    <w:p w14:paraId="2592231E" w14:textId="77777777" w:rsidR="00D1758D" w:rsidRDefault="00517B20" w:rsidP="00D1758D">
      <w:pPr>
        <w:pStyle w:val="Heading2"/>
        <w:tabs>
          <w:tab w:val="clear" w:pos="1572"/>
          <w:tab w:val="num" w:pos="709"/>
        </w:tabs>
        <w:ind w:left="709" w:hanging="709"/>
        <w:rPr>
          <w:kern w:val="32"/>
        </w:rPr>
      </w:pPr>
      <w:bookmarkStart w:id="155" w:name="_Toc84363196"/>
      <w:r>
        <w:t>Pancreatic cancer</w:t>
      </w:r>
      <w:bookmarkEnd w:id="155"/>
    </w:p>
    <w:p w14:paraId="725A0C83" w14:textId="77777777" w:rsidR="00953160" w:rsidRPr="00A05997" w:rsidRDefault="00953160" w:rsidP="00D14B60">
      <w:pPr>
        <w:rPr>
          <w:szCs w:val="20"/>
        </w:rPr>
      </w:pPr>
      <w:bookmarkStart w:id="156" w:name="_Hlk81845916"/>
      <w:r w:rsidRPr="00CD2716">
        <w:rPr>
          <w:szCs w:val="20"/>
        </w:rPr>
        <w:t>Surgical procedures for the treatment of pancreatic cancer examined in these analyses included local excision of pancreatic/ duodenal tumours, pancreatectomy procedures including near, total or distal pancreatectomies, Whipple’s procedures, and endoscopic stenting procedures of bile ducts.</w:t>
      </w:r>
      <w:r>
        <w:rPr>
          <w:szCs w:val="20"/>
        </w:rPr>
        <w:t xml:space="preserve"> </w:t>
      </w:r>
      <w:bookmarkEnd w:id="156"/>
    </w:p>
    <w:p w14:paraId="039EFCE6" w14:textId="01AFBCC2" w:rsidR="00953160" w:rsidRPr="00973BF3" w:rsidRDefault="00953160" w:rsidP="00D14B60">
      <w:pPr>
        <w:rPr>
          <w:szCs w:val="20"/>
        </w:rPr>
      </w:pPr>
      <w:bookmarkStart w:id="157" w:name="_Hlk81845927"/>
      <w:r w:rsidRPr="00ED2646">
        <w:rPr>
          <w:szCs w:val="20"/>
        </w:rPr>
        <w:t xml:space="preserve">In 2020, the observed </w:t>
      </w:r>
      <w:r w:rsidRPr="00D14B60">
        <w:rPr>
          <w:iCs/>
          <w:szCs w:val="20"/>
        </w:rPr>
        <w:t>number</w:t>
      </w:r>
      <w:r w:rsidRPr="00ED2646">
        <w:rPr>
          <w:szCs w:val="20"/>
        </w:rPr>
        <w:t xml:space="preserve"> of services nationally for </w:t>
      </w:r>
      <w:r w:rsidRPr="00ED2646">
        <w:rPr>
          <w:noProof/>
          <w:szCs w:val="20"/>
        </w:rPr>
        <w:t>pancreatic cancer-related surgical</w:t>
      </w:r>
      <w:r>
        <w:rPr>
          <w:noProof/>
          <w:szCs w:val="20"/>
        </w:rPr>
        <w:t xml:space="preserve"> </w:t>
      </w:r>
      <w:r w:rsidRPr="00ED2646">
        <w:rPr>
          <w:noProof/>
          <w:szCs w:val="20"/>
        </w:rPr>
        <w:t xml:space="preserve">procedures </w:t>
      </w:r>
      <w:r w:rsidRPr="00ED2646">
        <w:rPr>
          <w:szCs w:val="20"/>
        </w:rPr>
        <w:t xml:space="preserve">was </w:t>
      </w:r>
      <w:r w:rsidRPr="00ED2646">
        <w:rPr>
          <w:noProof/>
          <w:szCs w:val="20"/>
        </w:rPr>
        <w:t>7% lower than expected</w:t>
      </w:r>
      <w:r>
        <w:rPr>
          <w:noProof/>
          <w:szCs w:val="20"/>
        </w:rPr>
        <w:t xml:space="preserve">, with </w:t>
      </w:r>
      <w:r w:rsidRPr="00973BF3">
        <w:rPr>
          <w:noProof/>
          <w:szCs w:val="20"/>
        </w:rPr>
        <w:t>352 fewer services</w:t>
      </w:r>
      <w:r w:rsidRPr="00973BF3">
        <w:rPr>
          <w:szCs w:val="20"/>
        </w:rPr>
        <w:t xml:space="preserve"> </w:t>
      </w:r>
      <w:r w:rsidRPr="00973BF3">
        <w:rPr>
          <w:noProof/>
          <w:szCs w:val="20"/>
        </w:rPr>
        <w:t>(4,942</w:t>
      </w:r>
      <w:r>
        <w:rPr>
          <w:noProof/>
          <w:szCs w:val="20"/>
        </w:rPr>
        <w:t xml:space="preserve"> services observed versus </w:t>
      </w:r>
      <w:r w:rsidRPr="00973BF3">
        <w:rPr>
          <w:noProof/>
          <w:szCs w:val="20"/>
        </w:rPr>
        <w:t xml:space="preserve">5,294 </w:t>
      </w:r>
      <w:r>
        <w:rPr>
          <w:noProof/>
          <w:szCs w:val="20"/>
        </w:rPr>
        <w:t xml:space="preserve">services expected) </w:t>
      </w:r>
      <w:r w:rsidR="00914671">
        <w:t>[</w:t>
      </w:r>
      <w:r w:rsidR="00914671" w:rsidRPr="0096072B">
        <w:fldChar w:fldCharType="begin"/>
      </w:r>
      <w:r w:rsidR="00914671" w:rsidRPr="0096072B">
        <w:instrText xml:space="preserve"> REF _Ref79624062 \h  \* MERGEFORMAT </w:instrText>
      </w:r>
      <w:r w:rsidR="00914671" w:rsidRPr="0096072B">
        <w:fldChar w:fldCharType="separate"/>
      </w:r>
      <w:r w:rsidR="00914671">
        <w:t xml:space="preserve">Table </w:t>
      </w:r>
      <w:r w:rsidR="00914671">
        <w:rPr>
          <w:noProof/>
        </w:rPr>
        <w:t>2</w:t>
      </w:r>
      <w:r w:rsidR="00914671" w:rsidRPr="0096072B">
        <w:fldChar w:fldCharType="end"/>
      </w:r>
      <w:r w:rsidR="00914671" w:rsidRPr="0096072B">
        <w:t xml:space="preserve">; </w:t>
      </w:r>
      <w:r w:rsidR="00914671">
        <w:t>Figure 2]</w:t>
      </w:r>
      <w:r w:rsidR="00914671" w:rsidRPr="0096072B">
        <w:rPr>
          <w:szCs w:val="20"/>
        </w:rPr>
        <w:t>.</w:t>
      </w:r>
    </w:p>
    <w:p w14:paraId="0558A80C" w14:textId="77777777" w:rsidR="00953160" w:rsidRDefault="00953160" w:rsidP="00D14B60">
      <w:pPr>
        <w:rPr>
          <w:szCs w:val="20"/>
        </w:rPr>
      </w:pPr>
      <w:r w:rsidRPr="00973BF3">
        <w:rPr>
          <w:szCs w:val="20"/>
        </w:rPr>
        <w:t xml:space="preserve">The observed number of </w:t>
      </w:r>
      <w:r>
        <w:rPr>
          <w:szCs w:val="20"/>
        </w:rPr>
        <w:t>services for 2020</w:t>
      </w:r>
      <w:r w:rsidRPr="00973BF3">
        <w:rPr>
          <w:szCs w:val="20"/>
        </w:rPr>
        <w:t xml:space="preserve"> was lower than expected</w:t>
      </w:r>
      <w:r>
        <w:rPr>
          <w:szCs w:val="20"/>
        </w:rPr>
        <w:t xml:space="preserve"> for most jurisdictions. The number of observed services was </w:t>
      </w:r>
      <w:r w:rsidRPr="00973BF3">
        <w:rPr>
          <w:szCs w:val="20"/>
        </w:rPr>
        <w:t>5</w:t>
      </w:r>
      <w:r>
        <w:t>–</w:t>
      </w:r>
      <w:r w:rsidRPr="00973BF3">
        <w:rPr>
          <w:szCs w:val="20"/>
        </w:rPr>
        <w:t xml:space="preserve">19% </w:t>
      </w:r>
      <w:r>
        <w:rPr>
          <w:szCs w:val="20"/>
        </w:rPr>
        <w:t>lower than expected</w:t>
      </w:r>
      <w:r w:rsidRPr="00973BF3">
        <w:rPr>
          <w:szCs w:val="20"/>
        </w:rPr>
        <w:t xml:space="preserve"> for </w:t>
      </w:r>
      <w:bookmarkStart w:id="158" w:name="_Hlk84948481"/>
      <w:r>
        <w:rPr>
          <w:szCs w:val="20"/>
        </w:rPr>
        <w:t>NSW/ACT</w:t>
      </w:r>
      <w:r w:rsidRPr="00973BF3">
        <w:rPr>
          <w:szCs w:val="20"/>
        </w:rPr>
        <w:t xml:space="preserve">, </w:t>
      </w:r>
      <w:r>
        <w:rPr>
          <w:szCs w:val="20"/>
        </w:rPr>
        <w:t>VIC/TAS</w:t>
      </w:r>
      <w:r w:rsidRPr="00973BF3">
        <w:rPr>
          <w:szCs w:val="20"/>
        </w:rPr>
        <w:t xml:space="preserve">, and </w:t>
      </w:r>
      <w:r>
        <w:rPr>
          <w:szCs w:val="20"/>
        </w:rPr>
        <w:t>SA/NT</w:t>
      </w:r>
      <w:bookmarkEnd w:id="158"/>
      <w:r>
        <w:rPr>
          <w:szCs w:val="20"/>
        </w:rPr>
        <w:t>.</w:t>
      </w:r>
      <w:r w:rsidRPr="00973BF3">
        <w:rPr>
          <w:szCs w:val="20"/>
        </w:rPr>
        <w:t xml:space="preserve"> The observed </w:t>
      </w:r>
      <w:r w:rsidRPr="00D14B60">
        <w:rPr>
          <w:iCs/>
          <w:szCs w:val="20"/>
        </w:rPr>
        <w:t>number</w:t>
      </w:r>
      <w:r w:rsidRPr="00973BF3">
        <w:rPr>
          <w:szCs w:val="20"/>
        </w:rPr>
        <w:t xml:space="preserve"> of services</w:t>
      </w:r>
      <w:r>
        <w:rPr>
          <w:szCs w:val="20"/>
        </w:rPr>
        <w:t xml:space="preserve"> was </w:t>
      </w:r>
      <w:r w:rsidRPr="00973BF3">
        <w:rPr>
          <w:szCs w:val="20"/>
        </w:rPr>
        <w:t xml:space="preserve">11% higher than expected </w:t>
      </w:r>
      <w:r>
        <w:rPr>
          <w:szCs w:val="20"/>
        </w:rPr>
        <w:t>for QLD and</w:t>
      </w:r>
      <w:r w:rsidRPr="00973BF3">
        <w:rPr>
          <w:szCs w:val="20"/>
        </w:rPr>
        <w:t xml:space="preserve"> similar to that expected</w:t>
      </w:r>
      <w:r>
        <w:rPr>
          <w:szCs w:val="20"/>
        </w:rPr>
        <w:t xml:space="preserve">, that is, less than 5% difference, </w:t>
      </w:r>
      <w:r w:rsidRPr="00973BF3">
        <w:rPr>
          <w:szCs w:val="20"/>
        </w:rPr>
        <w:t xml:space="preserve">for </w:t>
      </w:r>
      <w:r>
        <w:rPr>
          <w:szCs w:val="20"/>
        </w:rPr>
        <w:t>WA (1% lower)</w:t>
      </w:r>
      <w:r w:rsidRPr="00973BF3">
        <w:rPr>
          <w:szCs w:val="20"/>
        </w:rPr>
        <w:t xml:space="preserve"> </w:t>
      </w:r>
      <w:r w:rsidR="00544365" w:rsidRPr="004F3E26">
        <w:rPr>
          <w:szCs w:val="20"/>
        </w:rPr>
        <w:t>[Table B</w:t>
      </w:r>
      <w:r w:rsidR="00544365">
        <w:rPr>
          <w:szCs w:val="20"/>
        </w:rPr>
        <w:t>2</w:t>
      </w:r>
      <w:r w:rsidR="00544365" w:rsidRPr="004F3E26">
        <w:rPr>
          <w:szCs w:val="20"/>
        </w:rPr>
        <w:t xml:space="preserve">; Figure </w:t>
      </w:r>
      <w:r w:rsidR="00544365">
        <w:rPr>
          <w:szCs w:val="20"/>
        </w:rPr>
        <w:t>2.8</w:t>
      </w:r>
      <w:r>
        <w:rPr>
          <w:szCs w:val="20"/>
        </w:rPr>
        <w:t>]</w:t>
      </w:r>
      <w:r w:rsidRPr="00973BF3">
        <w:rPr>
          <w:szCs w:val="20"/>
        </w:rPr>
        <w:t xml:space="preserve">. </w:t>
      </w:r>
      <w:r>
        <w:rPr>
          <w:szCs w:val="20"/>
        </w:rPr>
        <w:t>For each state/territory:</w:t>
      </w:r>
    </w:p>
    <w:p w14:paraId="35339972" w14:textId="77777777" w:rsidR="00953160" w:rsidRPr="006C734A" w:rsidRDefault="00953160" w:rsidP="00D14B60">
      <w:pPr>
        <w:pStyle w:val="ListParagraph"/>
        <w:numPr>
          <w:ilvl w:val="0"/>
          <w:numId w:val="6"/>
        </w:numPr>
        <w:spacing w:line="280" w:lineRule="atLeast"/>
        <w:ind w:left="714" w:hanging="357"/>
        <w:jc w:val="both"/>
        <w:rPr>
          <w:rFonts w:ascii="Century Gothic" w:hAnsi="Century Gothic"/>
          <w:sz w:val="20"/>
          <w:szCs w:val="20"/>
        </w:rPr>
      </w:pPr>
      <w:bookmarkStart w:id="159" w:name="_Hlk81482538"/>
      <w:r w:rsidRPr="006C734A">
        <w:rPr>
          <w:rFonts w:ascii="Century Gothic" w:hAnsi="Century Gothic"/>
          <w:sz w:val="20"/>
          <w:szCs w:val="20"/>
        </w:rPr>
        <w:t xml:space="preserve">The observed number of services was </w:t>
      </w:r>
      <w:r w:rsidRPr="00953160">
        <w:rPr>
          <w:rFonts w:ascii="Century Gothic" w:hAnsi="Century Gothic"/>
          <w:noProof/>
          <w:color w:val="000000"/>
          <w:sz w:val="20"/>
          <w:szCs w:val="20"/>
        </w:rPr>
        <w:t>19% lower than expected for VIC/TAS, with 254 fewer services (1,073 services observed versus 1,327 services expected);</w:t>
      </w:r>
      <w:r w:rsidRPr="006C734A">
        <w:rPr>
          <w:rFonts w:ascii="Century Gothic" w:hAnsi="Century Gothic"/>
          <w:sz w:val="20"/>
          <w:szCs w:val="20"/>
        </w:rPr>
        <w:t xml:space="preserve"> </w:t>
      </w:r>
      <w:r w:rsidRPr="00953160">
        <w:rPr>
          <w:rFonts w:ascii="Century Gothic" w:hAnsi="Century Gothic"/>
          <w:noProof/>
          <w:color w:val="000000"/>
          <w:sz w:val="20"/>
          <w:szCs w:val="20"/>
        </w:rPr>
        <w:t>11% lower than expected for SA/NT, with 63 fewer services (524 services observed versus 587 services expected);</w:t>
      </w:r>
      <w:r w:rsidRPr="006C734A">
        <w:rPr>
          <w:rFonts w:ascii="Century Gothic" w:hAnsi="Century Gothic"/>
          <w:sz w:val="20"/>
          <w:szCs w:val="20"/>
        </w:rPr>
        <w:t xml:space="preserve"> 11</w:t>
      </w:r>
      <w:r w:rsidRPr="00953160">
        <w:rPr>
          <w:rFonts w:ascii="Century Gothic" w:hAnsi="Century Gothic"/>
          <w:noProof/>
          <w:color w:val="000000"/>
          <w:sz w:val="20"/>
          <w:szCs w:val="20"/>
        </w:rPr>
        <w:t>% higher than expected for QLD, with 86 more services (892 services observed versus 806 services expected); and</w:t>
      </w:r>
      <w:r w:rsidRPr="006C734A">
        <w:rPr>
          <w:rFonts w:ascii="Century Gothic" w:hAnsi="Century Gothic"/>
          <w:sz w:val="20"/>
          <w:szCs w:val="20"/>
        </w:rPr>
        <w:t xml:space="preserve"> </w:t>
      </w:r>
      <w:r w:rsidRPr="00953160">
        <w:rPr>
          <w:rFonts w:ascii="Century Gothic" w:hAnsi="Century Gothic"/>
          <w:noProof/>
          <w:color w:val="000000"/>
          <w:sz w:val="20"/>
          <w:szCs w:val="20"/>
        </w:rPr>
        <w:t>5% lower than expected for NSW/ACT, with 116 fewer services (2,076 services observed versus 2,192 services expected)</w:t>
      </w:r>
      <w:r w:rsidRPr="00953160">
        <w:rPr>
          <w:rFonts w:ascii="Century Gothic" w:hAnsi="Century Gothic"/>
          <w:color w:val="000000"/>
          <w:sz w:val="20"/>
          <w:szCs w:val="20"/>
        </w:rPr>
        <w:t xml:space="preserve">. </w:t>
      </w:r>
      <w:r w:rsidRPr="006C734A">
        <w:rPr>
          <w:rFonts w:ascii="Century Gothic" w:hAnsi="Century Gothic"/>
          <w:sz w:val="20"/>
          <w:szCs w:val="20"/>
        </w:rPr>
        <w:t xml:space="preserve">The observed number of services was similar to expected for WA (1% lower), with 4 fewer services </w:t>
      </w:r>
      <w:r w:rsidRPr="00953160">
        <w:rPr>
          <w:rFonts w:ascii="Century Gothic" w:hAnsi="Century Gothic"/>
          <w:noProof/>
          <w:color w:val="000000"/>
          <w:sz w:val="20"/>
          <w:szCs w:val="20"/>
        </w:rPr>
        <w:t>(377 services observed versus 381 services expected</w:t>
      </w:r>
      <w:r w:rsidRPr="006C734A">
        <w:rPr>
          <w:rFonts w:ascii="Century Gothic" w:hAnsi="Century Gothic"/>
          <w:sz w:val="20"/>
          <w:szCs w:val="20"/>
        </w:rPr>
        <w:t xml:space="preserve">) </w:t>
      </w:r>
      <w:r w:rsidR="00544365" w:rsidRPr="00544365">
        <w:rPr>
          <w:rFonts w:ascii="Century Gothic" w:hAnsi="Century Gothic"/>
          <w:sz w:val="20"/>
          <w:szCs w:val="20"/>
        </w:rPr>
        <w:t>[Table B2; Figure 2.</w:t>
      </w:r>
      <w:r w:rsidR="00544365">
        <w:rPr>
          <w:rFonts w:ascii="Century Gothic" w:hAnsi="Century Gothic"/>
          <w:sz w:val="20"/>
          <w:szCs w:val="20"/>
        </w:rPr>
        <w:t>8</w:t>
      </w:r>
      <w:r w:rsidRPr="006C734A">
        <w:rPr>
          <w:rFonts w:ascii="Century Gothic" w:hAnsi="Century Gothic"/>
          <w:sz w:val="20"/>
          <w:szCs w:val="20"/>
        </w:rPr>
        <w:t>].</w:t>
      </w:r>
    </w:p>
    <w:bookmarkEnd w:id="157"/>
    <w:bookmarkEnd w:id="159"/>
    <w:p w14:paraId="17927006" w14:textId="77777777" w:rsidR="00D1758D" w:rsidRPr="00953160" w:rsidRDefault="00953160" w:rsidP="00D14B60">
      <w:pPr>
        <w:rPr>
          <w:szCs w:val="20"/>
        </w:rPr>
      </w:pPr>
      <w:r>
        <w:rPr>
          <w:szCs w:val="20"/>
        </w:rPr>
        <w:t xml:space="preserve">The observed and expected number of therapeutic services related to pancreatic cancer for 2020 for each state </w:t>
      </w:r>
      <w:r w:rsidRPr="00D14B60">
        <w:rPr>
          <w:iCs/>
          <w:szCs w:val="20"/>
        </w:rPr>
        <w:t>and</w:t>
      </w:r>
      <w:r>
        <w:rPr>
          <w:szCs w:val="20"/>
        </w:rPr>
        <w:t xml:space="preserve"> territory are provided in Appendix </w:t>
      </w:r>
      <w:r w:rsidR="00544365">
        <w:rPr>
          <w:szCs w:val="20"/>
        </w:rPr>
        <w:t>Table B2</w:t>
      </w:r>
      <w:r w:rsidRPr="00395B12">
        <w:rPr>
          <w:szCs w:val="20"/>
        </w:rPr>
        <w:t>.</w:t>
      </w:r>
    </w:p>
    <w:p w14:paraId="67E06633" w14:textId="0D2F6DD6" w:rsidR="00517B20" w:rsidRDefault="00D14B60" w:rsidP="00517B20">
      <w:pPr>
        <w:pStyle w:val="FigureName"/>
        <w:spacing w:before="480" w:after="200"/>
        <w:ind w:left="1077" w:hanging="1077"/>
      </w:pPr>
      <w:bookmarkStart w:id="160" w:name="_Toc83365217"/>
      <w:bookmarkStart w:id="161" w:name="_Toc83720994"/>
      <w:bookmarkStart w:id="162" w:name="_Hlk84946224"/>
      <w:r>
        <w:lastRenderedPageBreak/>
        <w:t>Figure 2.8</w:t>
      </w:r>
      <w:r>
        <w:tab/>
      </w:r>
      <w:r w:rsidR="00517B20" w:rsidRPr="007811D7">
        <w:t xml:space="preserve">Annual observed and expected number of services for </w:t>
      </w:r>
      <w:r w:rsidR="00517B20">
        <w:t>pancreatic</w:t>
      </w:r>
      <w:r w:rsidR="00517B20" w:rsidRPr="007811D7">
        <w:t xml:space="preserve"> cancer-related </w:t>
      </w:r>
      <w:r w:rsidR="00517B20">
        <w:t>therapeutic procedures</w:t>
      </w:r>
      <w:r w:rsidR="00517B20" w:rsidRPr="007811D7">
        <w:t xml:space="preserve"> in 2020, by jurisdiction</w:t>
      </w:r>
      <w:bookmarkEnd w:id="160"/>
      <w:bookmarkEnd w:id="161"/>
    </w:p>
    <w:p w14:paraId="26BDB26F" w14:textId="77777777" w:rsidR="00517B20" w:rsidRDefault="00517B20" w:rsidP="00517B20">
      <w:pPr>
        <w:jc w:val="center"/>
        <w:rPr>
          <w:szCs w:val="20"/>
        </w:rPr>
      </w:pPr>
      <w:r w:rsidRPr="001C0128">
        <w:rPr>
          <w:noProof/>
        </w:rPr>
        <w:t xml:space="preserve"> </w:t>
      </w:r>
      <w:r w:rsidR="00834120" w:rsidRPr="00517B20">
        <w:rPr>
          <w:noProof/>
          <w:szCs w:val="20"/>
        </w:rPr>
        <w:drawing>
          <wp:inline distT="0" distB="0" distL="0" distR="0" wp14:anchorId="1012C3FA" wp14:editId="367E66D3">
            <wp:extent cx="4457700" cy="2819400"/>
            <wp:effectExtent l="0" t="0" r="0" b="0"/>
            <wp:docPr id="19" name="Picture 1" descr="The figure is a column graph depicting the number of therapeutic procedures related to pancreatic cancer for each jurisdiction in 2020. Two bars are shown for each jurisdiction, one for the number of observed services and one for the number of expected services. The column bar for observed services is lower than the column bar for expected services for jurisdictions including NSW and ACT combined, VIC and TAS combined, and SA and NT combined. The column bar for observed services is higher than the column bar for expected services for QLD. The observed and expected number of services are considered similar for WA.&#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descr="The figure is a column graph depicting the number of therapeutic procedures related to pancreatic cancer for each jurisdiction in 2020. Two bars are shown for each jurisdiction, one for the number of observed services and one for the number of expected services. The column bar for observed services is lower than the column bar for expected services for jurisdictions including NSW and ACT combined, VIC and TAS combined, and SA and NT combined. The column bar for observed services is higher than the column bar for expected services for QLD. The observed and expected number of services are considered similar for WA.&#10;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57700" cy="2819400"/>
                    </a:xfrm>
                    <a:prstGeom prst="rect">
                      <a:avLst/>
                    </a:prstGeom>
                    <a:noFill/>
                    <a:ln>
                      <a:noFill/>
                    </a:ln>
                  </pic:spPr>
                </pic:pic>
              </a:graphicData>
            </a:graphic>
          </wp:inline>
        </w:drawing>
      </w:r>
    </w:p>
    <w:bookmarkEnd w:id="162"/>
    <w:p w14:paraId="5673021F" w14:textId="77777777" w:rsidR="00517B20" w:rsidRDefault="00517B20" w:rsidP="00D1758D"/>
    <w:p w14:paraId="15254923" w14:textId="77777777" w:rsidR="00D1758D" w:rsidRDefault="00517B20" w:rsidP="00D1758D">
      <w:pPr>
        <w:pStyle w:val="Heading2"/>
        <w:tabs>
          <w:tab w:val="clear" w:pos="1572"/>
          <w:tab w:val="num" w:pos="709"/>
        </w:tabs>
        <w:ind w:left="709" w:hanging="709"/>
        <w:rPr>
          <w:kern w:val="32"/>
        </w:rPr>
      </w:pPr>
      <w:bookmarkStart w:id="163" w:name="_Toc84363197"/>
      <w:r>
        <w:t>Stomach cancer</w:t>
      </w:r>
      <w:bookmarkEnd w:id="163"/>
    </w:p>
    <w:p w14:paraId="52739071" w14:textId="77777777" w:rsidR="00953160" w:rsidRPr="0096072B" w:rsidRDefault="00953160" w:rsidP="00D14B60">
      <w:pPr>
        <w:rPr>
          <w:b/>
          <w:szCs w:val="20"/>
        </w:rPr>
      </w:pPr>
      <w:bookmarkStart w:id="164" w:name="_Hlk81845449"/>
      <w:r>
        <w:rPr>
          <w:szCs w:val="20"/>
        </w:rPr>
        <w:t xml:space="preserve">Surgical procedures used for the treatment of stomach cancer examined in these analyses were </w:t>
      </w:r>
      <w:r w:rsidRPr="00633602">
        <w:rPr>
          <w:szCs w:val="20"/>
        </w:rPr>
        <w:t xml:space="preserve">local excision of </w:t>
      </w:r>
      <w:r w:rsidRPr="00D14B60">
        <w:rPr>
          <w:iCs/>
          <w:szCs w:val="20"/>
        </w:rPr>
        <w:t>gastric</w:t>
      </w:r>
      <w:r w:rsidRPr="00633602">
        <w:rPr>
          <w:szCs w:val="20"/>
        </w:rPr>
        <w:t xml:space="preserve"> tumour</w:t>
      </w:r>
      <w:r>
        <w:rPr>
          <w:szCs w:val="20"/>
        </w:rPr>
        <w:t xml:space="preserve">s and partial or total gastrectomy procedures. </w:t>
      </w:r>
    </w:p>
    <w:p w14:paraId="367918E4" w14:textId="02BB7FCD" w:rsidR="00953160" w:rsidRPr="00973BF3" w:rsidRDefault="00953160" w:rsidP="00D14B60">
      <w:pPr>
        <w:rPr>
          <w:szCs w:val="20"/>
        </w:rPr>
      </w:pPr>
      <w:bookmarkStart w:id="165" w:name="_Hlk81845464"/>
      <w:bookmarkEnd w:id="164"/>
      <w:r w:rsidRPr="00973BF3">
        <w:rPr>
          <w:szCs w:val="20"/>
        </w:rPr>
        <w:t xml:space="preserve">In 2020, the observed </w:t>
      </w:r>
      <w:r w:rsidRPr="00D14B60">
        <w:rPr>
          <w:iCs/>
          <w:szCs w:val="20"/>
        </w:rPr>
        <w:t>number</w:t>
      </w:r>
      <w:r w:rsidRPr="00973BF3">
        <w:rPr>
          <w:szCs w:val="20"/>
        </w:rPr>
        <w:t xml:space="preserve"> of services nationally for </w:t>
      </w:r>
      <w:r w:rsidRPr="00973BF3">
        <w:rPr>
          <w:noProof/>
          <w:szCs w:val="20"/>
        </w:rPr>
        <w:t xml:space="preserve">stomach cancer-related </w:t>
      </w:r>
      <w:r>
        <w:rPr>
          <w:noProof/>
          <w:szCs w:val="20"/>
        </w:rPr>
        <w:t>therapeutic procedures</w:t>
      </w:r>
      <w:r w:rsidRPr="00973BF3">
        <w:rPr>
          <w:noProof/>
          <w:szCs w:val="20"/>
        </w:rPr>
        <w:t xml:space="preserve"> </w:t>
      </w:r>
      <w:r w:rsidRPr="00973BF3">
        <w:rPr>
          <w:szCs w:val="20"/>
        </w:rPr>
        <w:t xml:space="preserve">was </w:t>
      </w:r>
      <w:r w:rsidRPr="00973BF3">
        <w:rPr>
          <w:noProof/>
          <w:szCs w:val="20"/>
        </w:rPr>
        <w:t>similar to expected</w:t>
      </w:r>
      <w:r>
        <w:rPr>
          <w:noProof/>
          <w:szCs w:val="20"/>
        </w:rPr>
        <w:t xml:space="preserve">, that is, less than 5% difference </w:t>
      </w:r>
      <w:r>
        <w:rPr>
          <w:szCs w:val="20"/>
        </w:rPr>
        <w:t>(0% difference, with 4 more services</w:t>
      </w:r>
      <w:r>
        <w:rPr>
          <w:noProof/>
          <w:szCs w:val="20"/>
        </w:rPr>
        <w:t xml:space="preserve">; </w:t>
      </w:r>
      <w:r w:rsidRPr="00973BF3">
        <w:rPr>
          <w:noProof/>
          <w:szCs w:val="20"/>
        </w:rPr>
        <w:t>1,004</w:t>
      </w:r>
      <w:r>
        <w:rPr>
          <w:noProof/>
          <w:szCs w:val="20"/>
        </w:rPr>
        <w:t xml:space="preserve"> services observed versus </w:t>
      </w:r>
      <w:r w:rsidRPr="00973BF3">
        <w:rPr>
          <w:noProof/>
          <w:szCs w:val="20"/>
        </w:rPr>
        <w:t xml:space="preserve">1,000 </w:t>
      </w:r>
      <w:r>
        <w:rPr>
          <w:noProof/>
          <w:szCs w:val="20"/>
        </w:rPr>
        <w:t xml:space="preserve">services expected) </w:t>
      </w:r>
      <w:r w:rsidR="00914671">
        <w:t>[</w:t>
      </w:r>
      <w:r w:rsidR="00914671" w:rsidRPr="0096072B">
        <w:fldChar w:fldCharType="begin"/>
      </w:r>
      <w:r w:rsidR="00914671" w:rsidRPr="0096072B">
        <w:instrText xml:space="preserve"> REF _Ref79624062 \h  \* MERGEFORMAT </w:instrText>
      </w:r>
      <w:r w:rsidR="00914671" w:rsidRPr="0096072B">
        <w:fldChar w:fldCharType="separate"/>
      </w:r>
      <w:r w:rsidR="00914671">
        <w:t xml:space="preserve">Table </w:t>
      </w:r>
      <w:r w:rsidR="00914671">
        <w:rPr>
          <w:noProof/>
        </w:rPr>
        <w:t>2</w:t>
      </w:r>
      <w:r w:rsidR="00914671" w:rsidRPr="0096072B">
        <w:fldChar w:fldCharType="end"/>
      </w:r>
      <w:r w:rsidR="00914671" w:rsidRPr="0096072B">
        <w:t xml:space="preserve">; </w:t>
      </w:r>
      <w:r w:rsidR="00914671">
        <w:t>Figure 2]</w:t>
      </w:r>
      <w:r w:rsidR="00914671" w:rsidRPr="0096072B">
        <w:rPr>
          <w:szCs w:val="20"/>
        </w:rPr>
        <w:t>.</w:t>
      </w:r>
    </w:p>
    <w:p w14:paraId="5EBCB480" w14:textId="77777777" w:rsidR="00953160" w:rsidRDefault="00953160" w:rsidP="00D14B60">
      <w:pPr>
        <w:rPr>
          <w:szCs w:val="20"/>
        </w:rPr>
      </w:pPr>
      <w:r w:rsidRPr="00973BF3">
        <w:rPr>
          <w:szCs w:val="20"/>
        </w:rPr>
        <w:t xml:space="preserve">The observed number of </w:t>
      </w:r>
      <w:r>
        <w:rPr>
          <w:szCs w:val="20"/>
        </w:rPr>
        <w:t>services for 2020</w:t>
      </w:r>
      <w:r w:rsidRPr="00973BF3">
        <w:rPr>
          <w:szCs w:val="20"/>
        </w:rPr>
        <w:t xml:space="preserve"> was </w:t>
      </w:r>
      <w:r>
        <w:rPr>
          <w:szCs w:val="20"/>
        </w:rPr>
        <w:t xml:space="preserve">7% </w:t>
      </w:r>
      <w:r w:rsidRPr="00973BF3">
        <w:rPr>
          <w:szCs w:val="20"/>
        </w:rPr>
        <w:t xml:space="preserve">lower than expected for </w:t>
      </w:r>
      <w:r>
        <w:rPr>
          <w:szCs w:val="20"/>
        </w:rPr>
        <w:t xml:space="preserve">NSW/ACT and </w:t>
      </w:r>
      <w:r w:rsidRPr="00973BF3">
        <w:rPr>
          <w:szCs w:val="20"/>
        </w:rPr>
        <w:t xml:space="preserve">22% higher than expected for </w:t>
      </w:r>
      <w:r>
        <w:rPr>
          <w:szCs w:val="20"/>
        </w:rPr>
        <w:t>QLD.</w:t>
      </w:r>
      <w:r w:rsidRPr="00973BF3">
        <w:rPr>
          <w:szCs w:val="20"/>
        </w:rPr>
        <w:t xml:space="preserve"> The observed number of services were </w:t>
      </w:r>
      <w:r>
        <w:rPr>
          <w:szCs w:val="20"/>
        </w:rPr>
        <w:t>similar to that expected</w:t>
      </w:r>
      <w:r w:rsidRPr="00973BF3">
        <w:rPr>
          <w:szCs w:val="20"/>
        </w:rPr>
        <w:t xml:space="preserve"> for </w:t>
      </w:r>
      <w:r>
        <w:rPr>
          <w:szCs w:val="20"/>
        </w:rPr>
        <w:t>VIC/TAS (3% lower)</w:t>
      </w:r>
      <w:r w:rsidRPr="00973BF3">
        <w:rPr>
          <w:szCs w:val="20"/>
        </w:rPr>
        <w:t xml:space="preserve">. </w:t>
      </w:r>
      <w:bookmarkStart w:id="166" w:name="_Hlk84948577"/>
      <w:r>
        <w:rPr>
          <w:szCs w:val="20"/>
        </w:rPr>
        <w:t>Due to the small</w:t>
      </w:r>
      <w:r w:rsidR="0047471F">
        <w:rPr>
          <w:szCs w:val="20"/>
        </w:rPr>
        <w:t>er</w:t>
      </w:r>
      <w:r>
        <w:rPr>
          <w:szCs w:val="20"/>
        </w:rPr>
        <w:t xml:space="preserve"> number of services</w:t>
      </w:r>
      <w:r w:rsidRPr="00F7455A">
        <w:rPr>
          <w:szCs w:val="20"/>
        </w:rPr>
        <w:t xml:space="preserve"> for</w:t>
      </w:r>
      <w:r>
        <w:t xml:space="preserve"> </w:t>
      </w:r>
      <w:r>
        <w:rPr>
          <w:szCs w:val="20"/>
        </w:rPr>
        <w:t>SA/NT</w:t>
      </w:r>
      <w:r w:rsidRPr="00973BF3">
        <w:rPr>
          <w:szCs w:val="20"/>
        </w:rPr>
        <w:t xml:space="preserve"> and </w:t>
      </w:r>
      <w:r>
        <w:rPr>
          <w:szCs w:val="20"/>
        </w:rPr>
        <w:t>WA</w:t>
      </w:r>
      <w:r w:rsidRPr="00F7455A">
        <w:rPr>
          <w:szCs w:val="20"/>
        </w:rPr>
        <w:t xml:space="preserve">, </w:t>
      </w:r>
      <w:r>
        <w:rPr>
          <w:szCs w:val="20"/>
        </w:rPr>
        <w:t>any differences</w:t>
      </w:r>
      <w:r w:rsidRPr="00F7455A">
        <w:rPr>
          <w:szCs w:val="20"/>
        </w:rPr>
        <w:t xml:space="preserve"> in observed a</w:t>
      </w:r>
      <w:r>
        <w:rPr>
          <w:szCs w:val="20"/>
        </w:rPr>
        <w:t>n</w:t>
      </w:r>
      <w:r w:rsidRPr="00F7455A">
        <w:rPr>
          <w:szCs w:val="20"/>
        </w:rPr>
        <w:t xml:space="preserve">d </w:t>
      </w:r>
      <w:r>
        <w:rPr>
          <w:szCs w:val="20"/>
        </w:rPr>
        <w:t>expected numbers of</w:t>
      </w:r>
      <w:r w:rsidRPr="00F7455A">
        <w:rPr>
          <w:szCs w:val="20"/>
        </w:rPr>
        <w:t xml:space="preserve"> annual services should be interpreted with caution</w:t>
      </w:r>
      <w:r>
        <w:rPr>
          <w:szCs w:val="20"/>
        </w:rPr>
        <w:t xml:space="preserve"> </w:t>
      </w:r>
      <w:bookmarkEnd w:id="166"/>
      <w:r w:rsidR="00544365" w:rsidRPr="004F3E26">
        <w:rPr>
          <w:szCs w:val="20"/>
        </w:rPr>
        <w:t>[Table B</w:t>
      </w:r>
      <w:r w:rsidR="00544365">
        <w:rPr>
          <w:szCs w:val="20"/>
        </w:rPr>
        <w:t>2</w:t>
      </w:r>
      <w:r w:rsidR="00544365" w:rsidRPr="004F3E26">
        <w:rPr>
          <w:szCs w:val="20"/>
        </w:rPr>
        <w:t xml:space="preserve">; Figure </w:t>
      </w:r>
      <w:r w:rsidR="00544365">
        <w:rPr>
          <w:szCs w:val="20"/>
        </w:rPr>
        <w:t>2.9</w:t>
      </w:r>
      <w:r>
        <w:rPr>
          <w:szCs w:val="20"/>
        </w:rPr>
        <w:t>]</w:t>
      </w:r>
      <w:r w:rsidRPr="00F7455A">
        <w:rPr>
          <w:szCs w:val="20"/>
        </w:rPr>
        <w:t>.</w:t>
      </w:r>
      <w:r>
        <w:rPr>
          <w:szCs w:val="20"/>
        </w:rPr>
        <w:t xml:space="preserve"> For each state/territory:</w:t>
      </w:r>
    </w:p>
    <w:p w14:paraId="08656BE5" w14:textId="77777777" w:rsidR="00953160" w:rsidRPr="006C734A" w:rsidRDefault="00953160" w:rsidP="00D14B60">
      <w:pPr>
        <w:pStyle w:val="ListParagraph"/>
        <w:numPr>
          <w:ilvl w:val="0"/>
          <w:numId w:val="6"/>
        </w:numPr>
        <w:spacing w:line="280" w:lineRule="atLeast"/>
        <w:ind w:left="714" w:hanging="357"/>
        <w:jc w:val="both"/>
        <w:rPr>
          <w:rFonts w:ascii="Century Gothic" w:hAnsi="Century Gothic"/>
          <w:sz w:val="20"/>
          <w:szCs w:val="20"/>
        </w:rPr>
      </w:pPr>
      <w:bookmarkStart w:id="167" w:name="_Hlk81484167"/>
      <w:r w:rsidRPr="006C734A">
        <w:rPr>
          <w:rFonts w:ascii="Century Gothic" w:hAnsi="Century Gothic"/>
          <w:sz w:val="20"/>
          <w:szCs w:val="20"/>
        </w:rPr>
        <w:t xml:space="preserve">The observed number of services </w:t>
      </w:r>
      <w:r w:rsidRPr="00105C84">
        <w:rPr>
          <w:rFonts w:ascii="Century Gothic" w:hAnsi="Century Gothic"/>
          <w:sz w:val="20"/>
          <w:szCs w:val="20"/>
        </w:rPr>
        <w:t xml:space="preserve">was </w:t>
      </w:r>
      <w:r w:rsidRPr="0047471F">
        <w:rPr>
          <w:rFonts w:ascii="Century Gothic" w:hAnsi="Century Gothic"/>
          <w:noProof/>
          <w:color w:val="000000"/>
          <w:sz w:val="20"/>
          <w:szCs w:val="20"/>
        </w:rPr>
        <w:t>23% higher than expected for SA/NT, with 8 more services (43 services observed versus 35 services expected)</w:t>
      </w:r>
      <w:r w:rsidRPr="0047471F">
        <w:rPr>
          <w:rFonts w:ascii="Century Gothic" w:hAnsi="Century Gothic"/>
          <w:sz w:val="20"/>
          <w:szCs w:val="20"/>
        </w:rPr>
        <w:t>; 22</w:t>
      </w:r>
      <w:r w:rsidRPr="0047471F">
        <w:rPr>
          <w:rFonts w:ascii="Century Gothic" w:hAnsi="Century Gothic"/>
          <w:noProof/>
          <w:color w:val="000000"/>
          <w:sz w:val="20"/>
          <w:szCs w:val="20"/>
        </w:rPr>
        <w:t>% higher than expected for QLD, with 31 more services (172 services observed versus 141 services expected); 11% higher than expected for WA, with 10 more services</w:t>
      </w:r>
      <w:r w:rsidRPr="0047471F">
        <w:rPr>
          <w:rFonts w:ascii="Century Gothic" w:hAnsi="Century Gothic"/>
          <w:color w:val="000000"/>
          <w:sz w:val="20"/>
          <w:szCs w:val="20"/>
        </w:rPr>
        <w:t xml:space="preserve"> </w:t>
      </w:r>
      <w:r w:rsidRPr="0047471F">
        <w:rPr>
          <w:rFonts w:ascii="Century Gothic" w:hAnsi="Century Gothic"/>
          <w:noProof/>
          <w:color w:val="000000"/>
          <w:sz w:val="20"/>
          <w:szCs w:val="20"/>
        </w:rPr>
        <w:t>(100 services observed versus 90 services expected);</w:t>
      </w:r>
      <w:r w:rsidRPr="00953160">
        <w:rPr>
          <w:rFonts w:ascii="Century Gothic" w:hAnsi="Century Gothic"/>
          <w:noProof/>
          <w:color w:val="000000"/>
          <w:sz w:val="20"/>
          <w:szCs w:val="20"/>
        </w:rPr>
        <w:t xml:space="preserve"> and 7% lower than expected for NSW/ACT, with 37 fewer services (462 services observed versus 499 services expected)</w:t>
      </w:r>
      <w:r w:rsidRPr="00953160">
        <w:rPr>
          <w:rFonts w:ascii="Century Gothic" w:hAnsi="Century Gothic"/>
          <w:color w:val="000000"/>
          <w:sz w:val="20"/>
          <w:szCs w:val="20"/>
        </w:rPr>
        <w:t xml:space="preserve">. </w:t>
      </w:r>
      <w:r w:rsidRPr="006C734A">
        <w:rPr>
          <w:rFonts w:ascii="Century Gothic" w:hAnsi="Century Gothic"/>
          <w:sz w:val="20"/>
          <w:szCs w:val="20"/>
        </w:rPr>
        <w:t xml:space="preserve">The observed number of services was similar to expected for VIC/TAS (3% lower), with 8 fewer services </w:t>
      </w:r>
      <w:r w:rsidRPr="00953160">
        <w:rPr>
          <w:rFonts w:ascii="Century Gothic" w:hAnsi="Century Gothic"/>
          <w:noProof/>
          <w:color w:val="000000"/>
          <w:sz w:val="20"/>
          <w:szCs w:val="20"/>
        </w:rPr>
        <w:t>(227 services observed versus 235 services expected</w:t>
      </w:r>
      <w:r w:rsidRPr="006C734A">
        <w:rPr>
          <w:rFonts w:ascii="Century Gothic" w:hAnsi="Century Gothic"/>
          <w:sz w:val="20"/>
          <w:szCs w:val="20"/>
        </w:rPr>
        <w:t>)</w:t>
      </w:r>
      <w:r w:rsidRPr="00953160">
        <w:rPr>
          <w:rFonts w:ascii="Century Gothic" w:hAnsi="Century Gothic"/>
          <w:color w:val="000000"/>
          <w:sz w:val="20"/>
          <w:szCs w:val="20"/>
        </w:rPr>
        <w:t xml:space="preserve"> </w:t>
      </w:r>
      <w:r w:rsidR="00544365" w:rsidRPr="00544365">
        <w:rPr>
          <w:rFonts w:ascii="Century Gothic" w:hAnsi="Century Gothic"/>
          <w:sz w:val="20"/>
          <w:szCs w:val="20"/>
        </w:rPr>
        <w:t>[Table B2; Figure 2.</w:t>
      </w:r>
      <w:r w:rsidR="00544365">
        <w:rPr>
          <w:rFonts w:ascii="Century Gothic" w:hAnsi="Century Gothic"/>
          <w:sz w:val="20"/>
          <w:szCs w:val="20"/>
        </w:rPr>
        <w:t>9</w:t>
      </w:r>
      <w:r w:rsidRPr="006C734A">
        <w:rPr>
          <w:rFonts w:ascii="Century Gothic" w:hAnsi="Century Gothic"/>
          <w:sz w:val="20"/>
          <w:szCs w:val="20"/>
        </w:rPr>
        <w:t>].</w:t>
      </w:r>
      <w:bookmarkEnd w:id="167"/>
    </w:p>
    <w:bookmarkEnd w:id="165"/>
    <w:p w14:paraId="35E8D80E" w14:textId="77777777" w:rsidR="00953160" w:rsidRDefault="00953160" w:rsidP="00D14B60">
      <w:pPr>
        <w:rPr>
          <w:szCs w:val="20"/>
        </w:rPr>
      </w:pPr>
      <w:r>
        <w:rPr>
          <w:szCs w:val="20"/>
        </w:rPr>
        <w:t xml:space="preserve">The observed and </w:t>
      </w:r>
      <w:r w:rsidRPr="00D14B60">
        <w:rPr>
          <w:iCs/>
          <w:szCs w:val="20"/>
        </w:rPr>
        <w:t>expected</w:t>
      </w:r>
      <w:r>
        <w:rPr>
          <w:szCs w:val="20"/>
        </w:rPr>
        <w:t xml:space="preserve"> number of therapeutic services related to stomach cancer for 2020 for each state and territory are provided in Appendix </w:t>
      </w:r>
      <w:r w:rsidR="00544365">
        <w:rPr>
          <w:szCs w:val="20"/>
        </w:rPr>
        <w:t>Table B2</w:t>
      </w:r>
      <w:r w:rsidRPr="00395B12">
        <w:rPr>
          <w:szCs w:val="20"/>
        </w:rPr>
        <w:t>.</w:t>
      </w:r>
    </w:p>
    <w:p w14:paraId="40B55CD7" w14:textId="507D39D1" w:rsidR="00517B20" w:rsidRDefault="00D14B60" w:rsidP="00517B20">
      <w:pPr>
        <w:pStyle w:val="FigureName"/>
        <w:spacing w:before="480" w:after="200"/>
        <w:ind w:left="1077" w:hanging="1077"/>
      </w:pPr>
      <w:bookmarkStart w:id="168" w:name="_Toc83365218"/>
      <w:bookmarkStart w:id="169" w:name="_Toc83720995"/>
      <w:bookmarkStart w:id="170" w:name="_Hlk84946234"/>
      <w:r>
        <w:lastRenderedPageBreak/>
        <w:t>Figure 2.9</w:t>
      </w:r>
      <w:r>
        <w:tab/>
      </w:r>
      <w:r w:rsidR="00517B20" w:rsidRPr="007811D7">
        <w:t xml:space="preserve">Annual observed and expected number of services for </w:t>
      </w:r>
      <w:r w:rsidR="00517B20">
        <w:t>stomach</w:t>
      </w:r>
      <w:r w:rsidR="00517B20" w:rsidRPr="007811D7">
        <w:t xml:space="preserve"> cancer-related </w:t>
      </w:r>
      <w:r w:rsidR="00517B20">
        <w:t>therapeutic procedures</w:t>
      </w:r>
      <w:r w:rsidR="00517B20" w:rsidRPr="007811D7">
        <w:t xml:space="preserve"> in 2020, by jurisdiction</w:t>
      </w:r>
      <w:bookmarkEnd w:id="168"/>
      <w:bookmarkEnd w:id="169"/>
    </w:p>
    <w:p w14:paraId="08B77016" w14:textId="77777777" w:rsidR="00517B20" w:rsidRDefault="00834120" w:rsidP="00517B20">
      <w:pPr>
        <w:spacing w:line="360" w:lineRule="auto"/>
        <w:jc w:val="center"/>
        <w:rPr>
          <w:szCs w:val="20"/>
        </w:rPr>
      </w:pPr>
      <w:r w:rsidRPr="00517B20">
        <w:rPr>
          <w:noProof/>
          <w:szCs w:val="20"/>
        </w:rPr>
        <w:drawing>
          <wp:inline distT="0" distB="0" distL="0" distR="0" wp14:anchorId="66535A5B" wp14:editId="6EC61849">
            <wp:extent cx="4457700" cy="2819400"/>
            <wp:effectExtent l="0" t="0" r="0" b="0"/>
            <wp:docPr id="20" name="Picture 2" descr="The figure is a column graph depicting the number of therapeutic procedures related to stomach cancer for each jurisdiction in 2020. Two bars are shown for each jurisdiction, one for the number of observed services and one for the number of expected services. The column bar for observed services is lower than the column bar for expected services for NSW and ACT combined. The column bar for observed services is higher than the column bar for expected services for QLD. The observed and expected number of services are considered similar for VIC and TAS combined. Due to the smaller number of services for SA and NT combined and WA, any differences in observed and expected numbers of annual services should be interpreted with ca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descr="The figure is a column graph depicting the number of therapeutic procedures related to stomach cancer for each jurisdiction in 2020. Two bars are shown for each jurisdiction, one for the number of observed services and one for the number of expected services. The column bar for observed services is lower than the column bar for expected services for NSW and ACT combined. The column bar for observed services is higher than the column bar for expected services for QLD. The observed and expected number of services are considered similar for VIC and TAS combined. Due to the smaller number of services for SA and NT combined and WA, any differences in observed and expected numbers of annual services should be interpreted with caution."/>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57700" cy="2819400"/>
                    </a:xfrm>
                    <a:prstGeom prst="rect">
                      <a:avLst/>
                    </a:prstGeom>
                    <a:noFill/>
                    <a:ln>
                      <a:noFill/>
                    </a:ln>
                  </pic:spPr>
                </pic:pic>
              </a:graphicData>
            </a:graphic>
          </wp:inline>
        </w:drawing>
      </w:r>
    </w:p>
    <w:bookmarkEnd w:id="170"/>
    <w:p w14:paraId="0053B684" w14:textId="77777777" w:rsidR="00517B20" w:rsidRDefault="00517B20" w:rsidP="00D1758D"/>
    <w:p w14:paraId="268D941C" w14:textId="77777777" w:rsidR="00D1758D" w:rsidRDefault="00517B20" w:rsidP="00D1758D">
      <w:pPr>
        <w:pStyle w:val="Heading2"/>
        <w:tabs>
          <w:tab w:val="clear" w:pos="1572"/>
          <w:tab w:val="num" w:pos="709"/>
        </w:tabs>
        <w:ind w:left="709" w:hanging="709"/>
        <w:rPr>
          <w:kern w:val="32"/>
        </w:rPr>
      </w:pPr>
      <w:bookmarkStart w:id="171" w:name="_Toc84363198"/>
      <w:r>
        <w:t>Gynaecological cancers</w:t>
      </w:r>
      <w:bookmarkEnd w:id="171"/>
    </w:p>
    <w:p w14:paraId="2077CBD2" w14:textId="77777777" w:rsidR="00953160" w:rsidRPr="00953160" w:rsidRDefault="00953160" w:rsidP="00D14B60">
      <w:pPr>
        <w:rPr>
          <w:szCs w:val="20"/>
        </w:rPr>
      </w:pPr>
      <w:bookmarkStart w:id="172" w:name="_Hlk81846254"/>
      <w:r w:rsidRPr="00953160">
        <w:rPr>
          <w:szCs w:val="20"/>
        </w:rPr>
        <w:t xml:space="preserve">Therapeutic procedures for gynaecological cancers including uterine, ovarian, cervical, vaginal and vulval cancers encompass both surgical and non-surgical procedures. In some cases, the same </w:t>
      </w:r>
      <w:r w:rsidRPr="00D14B60">
        <w:rPr>
          <w:iCs/>
          <w:szCs w:val="20"/>
        </w:rPr>
        <w:t>procedure</w:t>
      </w:r>
      <w:r w:rsidRPr="00953160">
        <w:rPr>
          <w:szCs w:val="20"/>
        </w:rPr>
        <w:t xml:space="preserve"> type may be used in the treatment of more than one type of gynaecological cancer, in particular for advanced disease; or may be grouped together for the purposes of reimbursement through the MBS. Therefore, analyses for all treatment procedures examined in the report are presented as a gynaecological cancer grouping.</w:t>
      </w:r>
    </w:p>
    <w:p w14:paraId="2ED2EA64" w14:textId="77777777" w:rsidR="00953160" w:rsidRPr="00953160" w:rsidRDefault="00953160" w:rsidP="00D14B60">
      <w:pPr>
        <w:rPr>
          <w:szCs w:val="20"/>
        </w:rPr>
      </w:pPr>
      <w:r w:rsidRPr="00953160">
        <w:rPr>
          <w:szCs w:val="20"/>
        </w:rPr>
        <w:t xml:space="preserve">Surgical procedures examined in the report include oophorectomy, salpingectomy or salpingo-oophorectomy laparotomy procedures; partial, complete or radical vaginectomy procedures for proven malignancy; excision of vulva or vulvectomy procedures for suspected or proven malignancy; colposcopy and large loop excisions for previously confirmed intraepithelial </w:t>
      </w:r>
      <w:r w:rsidRPr="00D14B60">
        <w:rPr>
          <w:iCs/>
          <w:szCs w:val="20"/>
        </w:rPr>
        <w:t>neoplastic</w:t>
      </w:r>
      <w:r w:rsidRPr="00953160">
        <w:rPr>
          <w:szCs w:val="20"/>
        </w:rPr>
        <w:t xml:space="preserve"> changes and radical or debulking operations for advanced gynaecological malignancy. Non-surgical procedures examined in the report include intrauterine and/ or intravaginal brachytherapy procedures. </w:t>
      </w:r>
      <w:bookmarkEnd w:id="172"/>
    </w:p>
    <w:p w14:paraId="6C76D385" w14:textId="3D1545FF" w:rsidR="00953160" w:rsidRPr="00B31961" w:rsidRDefault="00953160" w:rsidP="00D14B60">
      <w:pPr>
        <w:rPr>
          <w:szCs w:val="20"/>
        </w:rPr>
      </w:pPr>
      <w:bookmarkStart w:id="173" w:name="_Hlk81846283"/>
      <w:r w:rsidRPr="00B31961">
        <w:rPr>
          <w:szCs w:val="20"/>
        </w:rPr>
        <w:t xml:space="preserve">In 2020, the observed number of services nationally for </w:t>
      </w:r>
      <w:r w:rsidRPr="00B31961">
        <w:rPr>
          <w:noProof/>
          <w:szCs w:val="20"/>
        </w:rPr>
        <w:t xml:space="preserve">gynaecological cancer-related </w:t>
      </w:r>
      <w:r>
        <w:rPr>
          <w:noProof/>
          <w:szCs w:val="20"/>
        </w:rPr>
        <w:t>therapeutic procedures</w:t>
      </w:r>
      <w:r w:rsidRPr="00B31961">
        <w:rPr>
          <w:noProof/>
          <w:szCs w:val="20"/>
        </w:rPr>
        <w:t xml:space="preserve"> </w:t>
      </w:r>
      <w:r w:rsidRPr="00B31961">
        <w:rPr>
          <w:szCs w:val="20"/>
        </w:rPr>
        <w:t xml:space="preserve">was </w:t>
      </w:r>
      <w:r w:rsidRPr="00B31961">
        <w:rPr>
          <w:noProof/>
          <w:szCs w:val="20"/>
        </w:rPr>
        <w:t>8% lower than expected</w:t>
      </w:r>
      <w:r>
        <w:rPr>
          <w:noProof/>
          <w:szCs w:val="20"/>
        </w:rPr>
        <w:t xml:space="preserve">, or </w:t>
      </w:r>
      <w:r>
        <w:rPr>
          <w:szCs w:val="20"/>
        </w:rPr>
        <w:t>1,372 fewer services</w:t>
      </w:r>
      <w:r w:rsidRPr="00B31961">
        <w:rPr>
          <w:szCs w:val="20"/>
        </w:rPr>
        <w:t xml:space="preserve"> </w:t>
      </w:r>
      <w:r w:rsidRPr="00B31961">
        <w:rPr>
          <w:noProof/>
          <w:szCs w:val="20"/>
        </w:rPr>
        <w:t>(16,575</w:t>
      </w:r>
      <w:r>
        <w:rPr>
          <w:noProof/>
          <w:szCs w:val="20"/>
        </w:rPr>
        <w:t xml:space="preserve"> services observed versus </w:t>
      </w:r>
      <w:r w:rsidRPr="00B31961">
        <w:rPr>
          <w:noProof/>
          <w:szCs w:val="20"/>
        </w:rPr>
        <w:t>17,94</w:t>
      </w:r>
      <w:r>
        <w:rPr>
          <w:noProof/>
          <w:szCs w:val="20"/>
        </w:rPr>
        <w:t>7</w:t>
      </w:r>
      <w:r w:rsidRPr="00B31961">
        <w:rPr>
          <w:noProof/>
          <w:szCs w:val="20"/>
        </w:rPr>
        <w:t xml:space="preserve"> </w:t>
      </w:r>
      <w:r>
        <w:rPr>
          <w:noProof/>
          <w:szCs w:val="20"/>
        </w:rPr>
        <w:t xml:space="preserve">services expected) </w:t>
      </w:r>
      <w:r w:rsidR="00914671">
        <w:t>[</w:t>
      </w:r>
      <w:r w:rsidR="00914671" w:rsidRPr="0096072B">
        <w:fldChar w:fldCharType="begin"/>
      </w:r>
      <w:r w:rsidR="00914671" w:rsidRPr="0096072B">
        <w:instrText xml:space="preserve"> REF _Ref79624062 \h  \* MERGEFORMAT </w:instrText>
      </w:r>
      <w:r w:rsidR="00914671" w:rsidRPr="0096072B">
        <w:fldChar w:fldCharType="separate"/>
      </w:r>
      <w:r w:rsidR="00914671">
        <w:t xml:space="preserve">Table </w:t>
      </w:r>
      <w:r w:rsidR="00914671">
        <w:rPr>
          <w:noProof/>
        </w:rPr>
        <w:t>2</w:t>
      </w:r>
      <w:r w:rsidR="00914671" w:rsidRPr="0096072B">
        <w:fldChar w:fldCharType="end"/>
      </w:r>
      <w:r w:rsidR="00914671" w:rsidRPr="0096072B">
        <w:t xml:space="preserve">; </w:t>
      </w:r>
      <w:r w:rsidR="00914671">
        <w:t>Figure 2]</w:t>
      </w:r>
      <w:r w:rsidR="00914671" w:rsidRPr="0096072B">
        <w:rPr>
          <w:szCs w:val="20"/>
        </w:rPr>
        <w:t>.</w:t>
      </w:r>
    </w:p>
    <w:p w14:paraId="259D8350" w14:textId="77777777" w:rsidR="00953160" w:rsidRDefault="00953160" w:rsidP="00D14B60">
      <w:pPr>
        <w:rPr>
          <w:szCs w:val="20"/>
        </w:rPr>
      </w:pPr>
      <w:r w:rsidRPr="00B31961">
        <w:rPr>
          <w:szCs w:val="20"/>
        </w:rPr>
        <w:t xml:space="preserve">The observed number of </w:t>
      </w:r>
      <w:r>
        <w:rPr>
          <w:szCs w:val="20"/>
        </w:rPr>
        <w:t>services for 2020</w:t>
      </w:r>
      <w:r w:rsidRPr="00B31961">
        <w:rPr>
          <w:szCs w:val="20"/>
        </w:rPr>
        <w:t xml:space="preserve"> was lower than expected</w:t>
      </w:r>
      <w:r>
        <w:rPr>
          <w:szCs w:val="20"/>
        </w:rPr>
        <w:t xml:space="preserve"> for most jurisdictions.</w:t>
      </w:r>
      <w:r w:rsidRPr="00656EB8">
        <w:rPr>
          <w:szCs w:val="20"/>
        </w:rPr>
        <w:t xml:space="preserve"> </w:t>
      </w:r>
      <w:r>
        <w:rPr>
          <w:szCs w:val="20"/>
        </w:rPr>
        <w:t>The number of observed services was</w:t>
      </w:r>
      <w:r w:rsidRPr="00B31961">
        <w:rPr>
          <w:szCs w:val="20"/>
        </w:rPr>
        <w:t xml:space="preserve"> </w:t>
      </w:r>
      <w:r>
        <w:rPr>
          <w:szCs w:val="20"/>
        </w:rPr>
        <w:t>10</w:t>
      </w:r>
      <w:r>
        <w:t>–</w:t>
      </w:r>
      <w:r w:rsidRPr="00B31961">
        <w:rPr>
          <w:szCs w:val="20"/>
        </w:rPr>
        <w:t xml:space="preserve">13% </w:t>
      </w:r>
      <w:r>
        <w:rPr>
          <w:szCs w:val="20"/>
        </w:rPr>
        <w:t xml:space="preserve">lower than expected for </w:t>
      </w:r>
      <w:bookmarkStart w:id="174" w:name="_Hlk84948623"/>
      <w:r>
        <w:rPr>
          <w:szCs w:val="20"/>
        </w:rPr>
        <w:t>VIC/TAS, QLD and SA/NT</w:t>
      </w:r>
      <w:bookmarkEnd w:id="174"/>
      <w:r>
        <w:rPr>
          <w:szCs w:val="20"/>
        </w:rPr>
        <w:t>.</w:t>
      </w:r>
      <w:r w:rsidRPr="00656EB8">
        <w:rPr>
          <w:szCs w:val="20"/>
        </w:rPr>
        <w:t xml:space="preserve"> </w:t>
      </w:r>
      <w:r>
        <w:rPr>
          <w:szCs w:val="20"/>
        </w:rPr>
        <w:t>The observed number of services was</w:t>
      </w:r>
      <w:r w:rsidRPr="00B35156">
        <w:rPr>
          <w:szCs w:val="20"/>
        </w:rPr>
        <w:t xml:space="preserve"> similar</w:t>
      </w:r>
      <w:r w:rsidRPr="00B31961">
        <w:rPr>
          <w:szCs w:val="20"/>
        </w:rPr>
        <w:t xml:space="preserve"> </w:t>
      </w:r>
      <w:r>
        <w:rPr>
          <w:szCs w:val="20"/>
        </w:rPr>
        <w:t xml:space="preserve">to expected, that is, less than 5% difference, for NSW/ACT (3% lower) and WA (3% lower), </w:t>
      </w:r>
      <w:r w:rsidR="00544365" w:rsidRPr="004F3E26">
        <w:rPr>
          <w:szCs w:val="20"/>
        </w:rPr>
        <w:t>[Table B</w:t>
      </w:r>
      <w:r w:rsidR="00544365">
        <w:rPr>
          <w:szCs w:val="20"/>
        </w:rPr>
        <w:t>2</w:t>
      </w:r>
      <w:r w:rsidR="00544365" w:rsidRPr="004F3E26">
        <w:rPr>
          <w:szCs w:val="20"/>
        </w:rPr>
        <w:t xml:space="preserve">; Figure </w:t>
      </w:r>
      <w:r w:rsidR="00544365">
        <w:rPr>
          <w:szCs w:val="20"/>
        </w:rPr>
        <w:t>2.10</w:t>
      </w:r>
      <w:r>
        <w:rPr>
          <w:szCs w:val="20"/>
        </w:rPr>
        <w:t>].</w:t>
      </w:r>
      <w:r w:rsidRPr="00B31961">
        <w:rPr>
          <w:szCs w:val="20"/>
        </w:rPr>
        <w:t xml:space="preserve"> </w:t>
      </w:r>
      <w:r>
        <w:rPr>
          <w:szCs w:val="20"/>
        </w:rPr>
        <w:t>For each state/territory:</w:t>
      </w:r>
    </w:p>
    <w:p w14:paraId="26C3606B" w14:textId="77777777" w:rsidR="00953160" w:rsidRPr="00B4767C" w:rsidRDefault="00953160" w:rsidP="00D14B60">
      <w:pPr>
        <w:pStyle w:val="ListParagraph"/>
        <w:numPr>
          <w:ilvl w:val="0"/>
          <w:numId w:val="6"/>
        </w:numPr>
        <w:spacing w:line="280" w:lineRule="atLeast"/>
        <w:ind w:left="714" w:hanging="357"/>
        <w:jc w:val="both"/>
        <w:rPr>
          <w:rFonts w:ascii="Century Gothic" w:hAnsi="Century Gothic"/>
          <w:sz w:val="20"/>
          <w:szCs w:val="20"/>
        </w:rPr>
      </w:pPr>
      <w:bookmarkStart w:id="175" w:name="_Hlk81480573"/>
      <w:r w:rsidRPr="00655487">
        <w:rPr>
          <w:rFonts w:ascii="Century Gothic" w:hAnsi="Century Gothic"/>
          <w:sz w:val="20"/>
          <w:szCs w:val="20"/>
        </w:rPr>
        <w:t xml:space="preserve">The observed </w:t>
      </w:r>
      <w:r w:rsidRPr="00D14B60">
        <w:rPr>
          <w:rFonts w:ascii="Century Gothic" w:hAnsi="Century Gothic"/>
          <w:noProof/>
          <w:color w:val="000000"/>
          <w:sz w:val="20"/>
          <w:szCs w:val="20"/>
        </w:rPr>
        <w:t>number</w:t>
      </w:r>
      <w:r w:rsidRPr="00655487">
        <w:rPr>
          <w:rFonts w:ascii="Century Gothic" w:hAnsi="Century Gothic"/>
          <w:sz w:val="20"/>
          <w:szCs w:val="20"/>
        </w:rPr>
        <w:t xml:space="preserve"> of services was </w:t>
      </w:r>
      <w:r w:rsidRPr="00953160">
        <w:rPr>
          <w:rFonts w:ascii="Century Gothic" w:hAnsi="Century Gothic"/>
          <w:noProof/>
          <w:color w:val="000000"/>
          <w:sz w:val="20"/>
          <w:szCs w:val="20"/>
        </w:rPr>
        <w:t>13% lower than expected for VIC/TAS, with 525 fewer services (3,515 services observed versus 4,040 services expected)</w:t>
      </w:r>
      <w:r w:rsidRPr="00655487">
        <w:rPr>
          <w:rFonts w:ascii="Century Gothic" w:hAnsi="Century Gothic"/>
          <w:sz w:val="20"/>
          <w:szCs w:val="20"/>
        </w:rPr>
        <w:t>; 11</w:t>
      </w:r>
      <w:r w:rsidRPr="00953160">
        <w:rPr>
          <w:rFonts w:ascii="Century Gothic" w:hAnsi="Century Gothic"/>
          <w:noProof/>
          <w:color w:val="000000"/>
          <w:sz w:val="20"/>
          <w:szCs w:val="20"/>
        </w:rPr>
        <w:t xml:space="preserve">% lower than </w:t>
      </w:r>
      <w:r w:rsidRPr="00953160">
        <w:rPr>
          <w:rFonts w:ascii="Century Gothic" w:hAnsi="Century Gothic"/>
          <w:noProof/>
          <w:color w:val="000000"/>
          <w:sz w:val="20"/>
          <w:szCs w:val="20"/>
        </w:rPr>
        <w:lastRenderedPageBreak/>
        <w:t>expected for QLD, with 430 fewer services (3,375 services observed versus 3,805 services expected); and</w:t>
      </w:r>
      <w:r w:rsidRPr="00953160">
        <w:rPr>
          <w:rFonts w:ascii="Century Gothic" w:hAnsi="Century Gothic"/>
          <w:color w:val="000000"/>
          <w:sz w:val="20"/>
          <w:szCs w:val="20"/>
        </w:rPr>
        <w:t xml:space="preserve"> </w:t>
      </w:r>
      <w:r w:rsidRPr="00953160">
        <w:rPr>
          <w:rFonts w:ascii="Century Gothic" w:hAnsi="Century Gothic"/>
          <w:noProof/>
          <w:color w:val="000000"/>
          <w:sz w:val="20"/>
          <w:szCs w:val="20"/>
        </w:rPr>
        <w:t>10% lower than expected for SA/NT, with 175 fewer services</w:t>
      </w:r>
      <w:r w:rsidRPr="00953160">
        <w:rPr>
          <w:rFonts w:ascii="Century Gothic" w:hAnsi="Century Gothic"/>
          <w:color w:val="000000"/>
          <w:sz w:val="20"/>
          <w:szCs w:val="20"/>
        </w:rPr>
        <w:t xml:space="preserve"> </w:t>
      </w:r>
      <w:r w:rsidRPr="00953160">
        <w:rPr>
          <w:rFonts w:ascii="Century Gothic" w:hAnsi="Century Gothic"/>
          <w:noProof/>
          <w:color w:val="000000"/>
          <w:sz w:val="20"/>
          <w:szCs w:val="20"/>
        </w:rPr>
        <w:t>(1,654 services observed versus 1,829 services expected)</w:t>
      </w:r>
      <w:r w:rsidRPr="00953160">
        <w:rPr>
          <w:rFonts w:ascii="Century Gothic" w:hAnsi="Century Gothic"/>
          <w:color w:val="000000"/>
          <w:sz w:val="20"/>
          <w:szCs w:val="20"/>
        </w:rPr>
        <w:t xml:space="preserve">. </w:t>
      </w:r>
      <w:r w:rsidRPr="00655487">
        <w:rPr>
          <w:rFonts w:ascii="Century Gothic" w:hAnsi="Century Gothic"/>
          <w:sz w:val="20"/>
          <w:szCs w:val="20"/>
        </w:rPr>
        <w:t xml:space="preserve">The observed number of services was similar to expected for NSW/ACT (3% lower), with 185 fewer services </w:t>
      </w:r>
      <w:r w:rsidRPr="00953160">
        <w:rPr>
          <w:rFonts w:ascii="Century Gothic" w:hAnsi="Century Gothic"/>
          <w:noProof/>
          <w:color w:val="000000"/>
          <w:sz w:val="20"/>
          <w:szCs w:val="20"/>
        </w:rPr>
        <w:t>(6,182 services observed versus 6,367 services expected</w:t>
      </w:r>
      <w:r w:rsidRPr="00655487">
        <w:rPr>
          <w:rFonts w:ascii="Century Gothic" w:hAnsi="Century Gothic"/>
          <w:sz w:val="20"/>
          <w:szCs w:val="20"/>
        </w:rPr>
        <w:t xml:space="preserve">); and WA (3% lower), with 57 fewer services </w:t>
      </w:r>
      <w:r w:rsidRPr="00953160">
        <w:rPr>
          <w:rFonts w:ascii="Century Gothic" w:hAnsi="Century Gothic"/>
          <w:noProof/>
          <w:color w:val="000000"/>
          <w:sz w:val="20"/>
          <w:szCs w:val="20"/>
        </w:rPr>
        <w:t>(1,849 services observed versus 1,906 services expected</w:t>
      </w:r>
      <w:r w:rsidRPr="00655487">
        <w:rPr>
          <w:rFonts w:ascii="Century Gothic" w:hAnsi="Century Gothic"/>
          <w:sz w:val="20"/>
          <w:szCs w:val="20"/>
        </w:rPr>
        <w:t xml:space="preserve">) </w:t>
      </w:r>
      <w:r w:rsidR="00544365" w:rsidRPr="00544365">
        <w:rPr>
          <w:rFonts w:ascii="Century Gothic" w:hAnsi="Century Gothic"/>
          <w:sz w:val="20"/>
          <w:szCs w:val="20"/>
        </w:rPr>
        <w:t>[Table B2; Figure 2.</w:t>
      </w:r>
      <w:r w:rsidR="00544365">
        <w:rPr>
          <w:rFonts w:ascii="Century Gothic" w:hAnsi="Century Gothic"/>
          <w:sz w:val="20"/>
          <w:szCs w:val="20"/>
        </w:rPr>
        <w:t>10</w:t>
      </w:r>
      <w:r w:rsidRPr="00655487">
        <w:rPr>
          <w:rFonts w:ascii="Century Gothic" w:hAnsi="Century Gothic"/>
          <w:sz w:val="20"/>
          <w:szCs w:val="20"/>
        </w:rPr>
        <w:t>].</w:t>
      </w:r>
      <w:bookmarkEnd w:id="175"/>
    </w:p>
    <w:bookmarkEnd w:id="173"/>
    <w:p w14:paraId="30569FDF" w14:textId="77777777" w:rsidR="00D1758D" w:rsidRDefault="00953160" w:rsidP="00953160">
      <w:r>
        <w:rPr>
          <w:szCs w:val="20"/>
        </w:rPr>
        <w:t xml:space="preserve">The observed and expected number of therapeutic services related to gynaecological cancers for 2020 for </w:t>
      </w:r>
      <w:r w:rsidRPr="00D14B60">
        <w:rPr>
          <w:iCs/>
          <w:szCs w:val="20"/>
        </w:rPr>
        <w:t>each</w:t>
      </w:r>
      <w:r>
        <w:rPr>
          <w:szCs w:val="20"/>
        </w:rPr>
        <w:t xml:space="preserve"> state and territory are provided in Appendix </w:t>
      </w:r>
      <w:r w:rsidR="00544365">
        <w:rPr>
          <w:szCs w:val="20"/>
        </w:rPr>
        <w:t>Table B2</w:t>
      </w:r>
      <w:r w:rsidRPr="00395B12">
        <w:rPr>
          <w:szCs w:val="20"/>
        </w:rPr>
        <w:t>.</w:t>
      </w:r>
    </w:p>
    <w:p w14:paraId="063FEDEE" w14:textId="51876D89" w:rsidR="00953160" w:rsidRDefault="00953160" w:rsidP="00953160">
      <w:pPr>
        <w:pStyle w:val="FigureName"/>
        <w:spacing w:before="480" w:after="200"/>
        <w:ind w:left="1077" w:hanging="1077"/>
      </w:pPr>
      <w:bookmarkStart w:id="176" w:name="_Ref79626779"/>
      <w:bookmarkStart w:id="177" w:name="_Toc83365219"/>
      <w:bookmarkStart w:id="178" w:name="_Toc83720996"/>
      <w:bookmarkStart w:id="179" w:name="_Hlk83623014"/>
      <w:bookmarkStart w:id="180" w:name="_Hlk84946246"/>
      <w:r>
        <w:t>Figure</w:t>
      </w:r>
      <w:bookmarkEnd w:id="176"/>
      <w:r w:rsidR="00914671">
        <w:t xml:space="preserve"> 2.10</w:t>
      </w:r>
      <w:r>
        <w:tab/>
      </w:r>
      <w:r w:rsidRPr="00134F0C">
        <w:t xml:space="preserve">Annual observed and expected number of services for gynaecological cancer-related </w:t>
      </w:r>
      <w:r>
        <w:t>therapeutic procedures</w:t>
      </w:r>
      <w:r w:rsidRPr="00134F0C">
        <w:t xml:space="preserve"> in 2020, by jurisdiction</w:t>
      </w:r>
      <w:bookmarkEnd w:id="177"/>
      <w:bookmarkEnd w:id="178"/>
    </w:p>
    <w:p w14:paraId="5D97749D" w14:textId="77777777" w:rsidR="00D16A9B" w:rsidRDefault="00834120" w:rsidP="00544365">
      <w:pPr>
        <w:jc w:val="center"/>
      </w:pPr>
      <w:r w:rsidRPr="005707F4">
        <w:rPr>
          <w:noProof/>
        </w:rPr>
        <w:drawing>
          <wp:inline distT="0" distB="0" distL="0" distR="0" wp14:anchorId="69C39798" wp14:editId="3C22534A">
            <wp:extent cx="4457700" cy="2813274"/>
            <wp:effectExtent l="0" t="0" r="0" b="6350"/>
            <wp:docPr id="21" name="Picture 1" descr="The figure is a column graph depicting the number of therapeutic procedures related to gynaecological cancer for each jurisdiction in 2020. Two bars are shown for each jurisdiction, one for the number of observed services and one for the number of expected services. The column bar for observed services is lower than the column bar for expected services for jurisdictions including VIC and TAS combined, QLD and SA and NT combined. The observed and expected number of services are considered similar for jurisdictions including NSW and ACT combined and 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descr="The figure is a column graph depicting the number of therapeutic procedures related to gynaecological cancer for each jurisdiction in 2020. Two bars are shown for each jurisdiction, one for the number of observed services and one for the number of expected services. The column bar for observed services is lower than the column bar for expected services for jurisdictions including VIC and TAS combined, QLD and SA and NT combined. The observed and expected number of services are considered similar for jurisdictions including NSW and ACT combined and WA."/>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4457700" cy="2813274"/>
                    </a:xfrm>
                    <a:prstGeom prst="rect">
                      <a:avLst/>
                    </a:prstGeom>
                    <a:noFill/>
                    <a:ln>
                      <a:noFill/>
                    </a:ln>
                  </pic:spPr>
                </pic:pic>
              </a:graphicData>
            </a:graphic>
          </wp:inline>
        </w:drawing>
      </w:r>
      <w:bookmarkEnd w:id="179"/>
    </w:p>
    <w:p w14:paraId="16618ADF" w14:textId="77777777" w:rsidR="00D16A9B" w:rsidRPr="00742820" w:rsidRDefault="00A036E1" w:rsidP="00742820">
      <w:pPr>
        <w:pStyle w:val="Heading1a"/>
      </w:pPr>
      <w:bookmarkStart w:id="181" w:name="_Toc84363199"/>
      <w:bookmarkStart w:id="182" w:name="_Toc515512634"/>
      <w:bookmarkStart w:id="183" w:name="_Toc227554733"/>
      <w:bookmarkEnd w:id="180"/>
      <w:r>
        <w:lastRenderedPageBreak/>
        <w:t>Appendix A</w:t>
      </w:r>
      <w:bookmarkEnd w:id="181"/>
      <w:r>
        <w:tab/>
      </w:r>
      <w:bookmarkEnd w:id="182"/>
      <w:bookmarkEnd w:id="183"/>
      <w:r w:rsidR="009210B8" w:rsidRPr="00742820">
        <w:t xml:space="preserve"> </w:t>
      </w:r>
    </w:p>
    <w:p w14:paraId="37194CB4" w14:textId="77777777" w:rsidR="009210B8" w:rsidRPr="00DC1B2B" w:rsidRDefault="009210B8" w:rsidP="009210B8">
      <w:pPr>
        <w:pStyle w:val="TableName"/>
      </w:pPr>
      <w:bookmarkStart w:id="184" w:name="_Toc81991498"/>
      <w:bookmarkStart w:id="185" w:name="_Toc83720972"/>
      <w:r w:rsidRPr="00DC1B2B">
        <w:t>Table</w:t>
      </w:r>
      <w:r w:rsidR="00A13570">
        <w:t xml:space="preserve"> A1</w:t>
      </w:r>
      <w:r>
        <w:tab/>
      </w:r>
      <w:r w:rsidRPr="00DC1B2B">
        <w:t>MBS item codes for cancer-related diagnostic procedures</w:t>
      </w:r>
      <w:r w:rsidRPr="009210B8">
        <w:footnoteReference w:id="27"/>
      </w:r>
      <w:bookmarkEnd w:id="184"/>
      <w:bookmarkEnd w:id="185"/>
    </w:p>
    <w:tbl>
      <w:tblPr>
        <w:tblW w:w="9350" w:type="dxa"/>
        <w:tblLook w:val="04A0" w:firstRow="1" w:lastRow="0" w:firstColumn="1" w:lastColumn="0" w:noHBand="0" w:noVBand="1"/>
      </w:tblPr>
      <w:tblGrid>
        <w:gridCol w:w="3539"/>
        <w:gridCol w:w="5811"/>
      </w:tblGrid>
      <w:tr w:rsidR="009210B8" w:rsidRPr="00D3686D" w14:paraId="40AB3718" w14:textId="77777777" w:rsidTr="009210B8">
        <w:trPr>
          <w:trHeight w:val="290"/>
          <w:tblHeader/>
        </w:trPr>
        <w:tc>
          <w:tcPr>
            <w:tcW w:w="3539" w:type="dxa"/>
            <w:tcBorders>
              <w:top w:val="single" w:sz="4" w:space="0" w:color="auto"/>
              <w:left w:val="single" w:sz="4" w:space="0" w:color="auto"/>
              <w:bottom w:val="nil"/>
              <w:right w:val="single" w:sz="4" w:space="0" w:color="auto"/>
            </w:tcBorders>
            <w:shd w:val="clear" w:color="000000" w:fill="808080"/>
            <w:vAlign w:val="center"/>
            <w:hideMark/>
          </w:tcPr>
          <w:p w14:paraId="60A05800" w14:textId="77777777" w:rsidR="009210B8" w:rsidRPr="00D3686D" w:rsidRDefault="009210B8" w:rsidP="00742820">
            <w:pPr>
              <w:spacing w:after="0" w:line="240" w:lineRule="auto"/>
              <w:jc w:val="left"/>
              <w:rPr>
                <w:rFonts w:cs="Calibri"/>
                <w:b/>
                <w:bCs/>
                <w:color w:val="FFFFFF"/>
                <w:sz w:val="18"/>
                <w:szCs w:val="18"/>
                <w:lang w:eastAsia="en-AU"/>
              </w:rPr>
            </w:pPr>
            <w:r w:rsidRPr="00D3686D">
              <w:rPr>
                <w:rFonts w:cs="Calibri"/>
                <w:b/>
                <w:bCs/>
                <w:color w:val="FFFFFF"/>
                <w:sz w:val="18"/>
                <w:szCs w:val="18"/>
                <w:lang w:eastAsia="en-AU"/>
              </w:rPr>
              <w:t>Cancer type</w:t>
            </w:r>
          </w:p>
        </w:tc>
        <w:tc>
          <w:tcPr>
            <w:tcW w:w="5811" w:type="dxa"/>
            <w:tcBorders>
              <w:top w:val="single" w:sz="4" w:space="0" w:color="auto"/>
              <w:left w:val="nil"/>
              <w:bottom w:val="nil"/>
              <w:right w:val="single" w:sz="4" w:space="0" w:color="auto"/>
            </w:tcBorders>
            <w:shd w:val="clear" w:color="000000" w:fill="808080"/>
            <w:vAlign w:val="center"/>
            <w:hideMark/>
          </w:tcPr>
          <w:p w14:paraId="025CE433" w14:textId="77777777" w:rsidR="009210B8" w:rsidRPr="00D3686D" w:rsidRDefault="009210B8" w:rsidP="00742820">
            <w:pPr>
              <w:spacing w:after="0" w:line="240" w:lineRule="auto"/>
              <w:jc w:val="left"/>
              <w:rPr>
                <w:rFonts w:cs="Calibri"/>
                <w:b/>
                <w:bCs/>
                <w:color w:val="FFFFFF"/>
                <w:sz w:val="18"/>
                <w:szCs w:val="18"/>
                <w:lang w:eastAsia="en-AU"/>
              </w:rPr>
            </w:pPr>
            <w:r w:rsidRPr="00D3686D">
              <w:rPr>
                <w:rFonts w:cs="Calibri"/>
                <w:b/>
                <w:bCs/>
                <w:color w:val="FFFFFF"/>
                <w:sz w:val="18"/>
                <w:szCs w:val="18"/>
                <w:lang w:eastAsia="en-AU"/>
              </w:rPr>
              <w:t>MBS Item code</w:t>
            </w:r>
          </w:p>
        </w:tc>
      </w:tr>
      <w:tr w:rsidR="009210B8" w:rsidRPr="00D3686D" w14:paraId="1049B5EE" w14:textId="77777777" w:rsidTr="009210B8">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D60E7" w14:textId="77777777" w:rsidR="009210B8" w:rsidRPr="00E7659A" w:rsidRDefault="009210B8" w:rsidP="009210B8">
            <w:pPr>
              <w:spacing w:after="0" w:line="240" w:lineRule="auto"/>
              <w:rPr>
                <w:rFonts w:cs="Calibri"/>
                <w:b/>
                <w:sz w:val="18"/>
                <w:szCs w:val="18"/>
                <w:lang w:eastAsia="en-AU"/>
              </w:rPr>
            </w:pPr>
            <w:r w:rsidRPr="00E7659A">
              <w:rPr>
                <w:rFonts w:cs="Calibri"/>
                <w:b/>
                <w:sz w:val="18"/>
                <w:szCs w:val="18"/>
                <w:lang w:eastAsia="en-AU"/>
              </w:rPr>
              <w:t>Breast cancer</w:t>
            </w:r>
          </w:p>
        </w:tc>
        <w:tc>
          <w:tcPr>
            <w:tcW w:w="5811" w:type="dxa"/>
            <w:tcBorders>
              <w:top w:val="single" w:sz="4" w:space="0" w:color="auto"/>
              <w:left w:val="nil"/>
              <w:bottom w:val="single" w:sz="4" w:space="0" w:color="auto"/>
              <w:right w:val="single" w:sz="4" w:space="0" w:color="auto"/>
            </w:tcBorders>
            <w:shd w:val="clear" w:color="auto" w:fill="auto"/>
            <w:noWrap/>
            <w:vAlign w:val="center"/>
            <w:hideMark/>
          </w:tcPr>
          <w:p w14:paraId="162B257C" w14:textId="77777777" w:rsidR="009210B8" w:rsidRPr="00D3686D" w:rsidRDefault="009210B8" w:rsidP="009210B8">
            <w:pPr>
              <w:spacing w:after="0" w:line="240" w:lineRule="auto"/>
              <w:rPr>
                <w:rFonts w:cs="Calibri"/>
                <w:sz w:val="18"/>
                <w:szCs w:val="18"/>
                <w:lang w:eastAsia="en-AU"/>
              </w:rPr>
            </w:pPr>
            <w:r w:rsidRPr="00D3686D">
              <w:rPr>
                <w:rFonts w:cs="Calibri"/>
                <w:sz w:val="18"/>
                <w:szCs w:val="18"/>
                <w:lang w:eastAsia="en-AU"/>
              </w:rPr>
              <w:t>59300, 59301, 59302, 59303, 59304, 59305, 63458, 63467, 63487, 63488, 63531, 63532, 63533, 63534, 31506, 31509, 31530, 31533, 31536, 31539, 31545, 31548, 63489, 63490, 30299, 30300, 30302, 30303</w:t>
            </w:r>
          </w:p>
        </w:tc>
      </w:tr>
      <w:tr w:rsidR="009210B8" w:rsidRPr="00D3686D" w14:paraId="53B1818F" w14:textId="77777777" w:rsidTr="009210B8">
        <w:trPr>
          <w:trHeight w:val="29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6D5218E" w14:textId="77777777" w:rsidR="009210B8" w:rsidRPr="00E7659A" w:rsidRDefault="009210B8" w:rsidP="009210B8">
            <w:pPr>
              <w:spacing w:after="0" w:line="240" w:lineRule="auto"/>
              <w:rPr>
                <w:rFonts w:cs="Calibri"/>
                <w:b/>
                <w:sz w:val="18"/>
                <w:szCs w:val="18"/>
                <w:lang w:eastAsia="en-AU"/>
              </w:rPr>
            </w:pPr>
            <w:r w:rsidRPr="00E7659A">
              <w:rPr>
                <w:rFonts w:cs="Calibri"/>
                <w:b/>
                <w:sz w:val="18"/>
                <w:szCs w:val="18"/>
                <w:lang w:eastAsia="en-AU"/>
              </w:rPr>
              <w:t>Colorectal cancers</w:t>
            </w:r>
          </w:p>
        </w:tc>
        <w:tc>
          <w:tcPr>
            <w:tcW w:w="5811" w:type="dxa"/>
            <w:tcBorders>
              <w:top w:val="nil"/>
              <w:left w:val="nil"/>
              <w:bottom w:val="single" w:sz="4" w:space="0" w:color="auto"/>
              <w:right w:val="single" w:sz="4" w:space="0" w:color="auto"/>
            </w:tcBorders>
            <w:shd w:val="clear" w:color="auto" w:fill="auto"/>
            <w:noWrap/>
            <w:vAlign w:val="center"/>
            <w:hideMark/>
          </w:tcPr>
          <w:p w14:paraId="69754A55" w14:textId="77777777" w:rsidR="009210B8" w:rsidRPr="00D3686D" w:rsidRDefault="009210B8" w:rsidP="009210B8">
            <w:pPr>
              <w:spacing w:after="0" w:line="240" w:lineRule="auto"/>
              <w:rPr>
                <w:rFonts w:cs="Calibri"/>
                <w:sz w:val="18"/>
                <w:szCs w:val="18"/>
                <w:lang w:eastAsia="en-AU"/>
              </w:rPr>
            </w:pPr>
            <w:r w:rsidRPr="00D3686D">
              <w:rPr>
                <w:rFonts w:cs="Calibri"/>
                <w:sz w:val="18"/>
                <w:szCs w:val="18"/>
                <w:lang w:eastAsia="en-AU"/>
              </w:rPr>
              <w:t>32072, 32075, 32084, 32087, 32096, 32222, 32223, 32224, 32225, 32226, 32227, 32228, 32088*, 32089*, 32090*, 32093*</w:t>
            </w:r>
          </w:p>
        </w:tc>
      </w:tr>
      <w:tr w:rsidR="009210B8" w:rsidRPr="00D3686D" w14:paraId="43C94F1F" w14:textId="77777777" w:rsidTr="009210B8">
        <w:trPr>
          <w:trHeight w:val="290"/>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5BC42D41" w14:textId="77777777" w:rsidR="009210B8" w:rsidRPr="00E7659A" w:rsidRDefault="009210B8" w:rsidP="009210B8">
            <w:pPr>
              <w:spacing w:after="0" w:line="240" w:lineRule="auto"/>
              <w:rPr>
                <w:rFonts w:cs="Calibri"/>
                <w:b/>
                <w:sz w:val="18"/>
                <w:szCs w:val="18"/>
                <w:lang w:eastAsia="en-AU"/>
              </w:rPr>
            </w:pPr>
            <w:r w:rsidRPr="00E7659A">
              <w:rPr>
                <w:rFonts w:cs="Calibri"/>
                <w:b/>
                <w:sz w:val="18"/>
                <w:szCs w:val="18"/>
                <w:lang w:eastAsia="en-AU"/>
              </w:rPr>
              <w:t xml:space="preserve">Kidney cancer </w:t>
            </w:r>
          </w:p>
        </w:tc>
        <w:tc>
          <w:tcPr>
            <w:tcW w:w="5811" w:type="dxa"/>
            <w:tcBorders>
              <w:top w:val="nil"/>
              <w:left w:val="nil"/>
              <w:bottom w:val="single" w:sz="4" w:space="0" w:color="auto"/>
              <w:right w:val="single" w:sz="4" w:space="0" w:color="auto"/>
            </w:tcBorders>
            <w:shd w:val="clear" w:color="auto" w:fill="auto"/>
            <w:noWrap/>
            <w:vAlign w:val="center"/>
          </w:tcPr>
          <w:p w14:paraId="1008FC72" w14:textId="77777777" w:rsidR="009210B8" w:rsidRPr="00D3686D" w:rsidRDefault="009210B8" w:rsidP="009210B8">
            <w:pPr>
              <w:spacing w:after="0" w:line="240" w:lineRule="auto"/>
              <w:rPr>
                <w:rFonts w:cs="Calibri"/>
                <w:sz w:val="18"/>
                <w:szCs w:val="18"/>
                <w:lang w:eastAsia="en-AU"/>
              </w:rPr>
            </w:pPr>
            <w:r w:rsidRPr="00D3686D">
              <w:rPr>
                <w:rFonts w:cs="Calibri"/>
                <w:sz w:val="18"/>
                <w:szCs w:val="18"/>
                <w:lang w:eastAsia="en-AU"/>
              </w:rPr>
              <w:t>36561</w:t>
            </w:r>
          </w:p>
        </w:tc>
      </w:tr>
      <w:tr w:rsidR="009210B8" w:rsidRPr="00D3686D" w14:paraId="1D65E471" w14:textId="77777777" w:rsidTr="009210B8">
        <w:trPr>
          <w:trHeight w:val="290"/>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1CED2A76" w14:textId="77777777" w:rsidR="009210B8" w:rsidRPr="00E7659A" w:rsidRDefault="009210B8" w:rsidP="009210B8">
            <w:pPr>
              <w:spacing w:after="0" w:line="240" w:lineRule="auto"/>
              <w:rPr>
                <w:rFonts w:cs="Calibri"/>
                <w:b/>
                <w:sz w:val="18"/>
                <w:szCs w:val="18"/>
                <w:lang w:eastAsia="en-AU"/>
              </w:rPr>
            </w:pPr>
            <w:r w:rsidRPr="00E7659A">
              <w:rPr>
                <w:rFonts w:cs="Calibri"/>
                <w:b/>
                <w:sz w:val="18"/>
                <w:szCs w:val="18"/>
                <w:lang w:eastAsia="en-AU"/>
              </w:rPr>
              <w:t>Liver cancer</w:t>
            </w:r>
          </w:p>
        </w:tc>
        <w:tc>
          <w:tcPr>
            <w:tcW w:w="5811" w:type="dxa"/>
            <w:tcBorders>
              <w:top w:val="nil"/>
              <w:left w:val="nil"/>
              <w:bottom w:val="single" w:sz="4" w:space="0" w:color="auto"/>
              <w:right w:val="single" w:sz="4" w:space="0" w:color="auto"/>
            </w:tcBorders>
            <w:shd w:val="clear" w:color="auto" w:fill="auto"/>
            <w:noWrap/>
            <w:vAlign w:val="center"/>
          </w:tcPr>
          <w:p w14:paraId="5182AE4F" w14:textId="77777777" w:rsidR="009210B8" w:rsidRPr="00D3686D" w:rsidRDefault="009210B8" w:rsidP="009210B8">
            <w:pPr>
              <w:spacing w:after="0" w:line="240" w:lineRule="auto"/>
              <w:rPr>
                <w:rFonts w:cs="Calibri"/>
                <w:sz w:val="18"/>
                <w:szCs w:val="18"/>
                <w:lang w:eastAsia="en-AU"/>
              </w:rPr>
            </w:pPr>
            <w:r w:rsidRPr="00D3686D">
              <w:rPr>
                <w:rFonts w:cs="Calibri"/>
                <w:sz w:val="18"/>
                <w:szCs w:val="18"/>
                <w:lang w:eastAsia="en-AU"/>
              </w:rPr>
              <w:t>30409, 30411,30412</w:t>
            </w:r>
          </w:p>
        </w:tc>
      </w:tr>
      <w:tr w:rsidR="009210B8" w:rsidRPr="00D3686D" w14:paraId="24ABC69F" w14:textId="77777777" w:rsidTr="009210B8">
        <w:trPr>
          <w:trHeight w:val="29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8F9916C" w14:textId="77777777" w:rsidR="009210B8" w:rsidRPr="00E7659A" w:rsidRDefault="009210B8" w:rsidP="009210B8">
            <w:pPr>
              <w:spacing w:after="0" w:line="240" w:lineRule="auto"/>
              <w:rPr>
                <w:rFonts w:cs="Calibri"/>
                <w:b/>
                <w:sz w:val="18"/>
                <w:szCs w:val="18"/>
                <w:lang w:eastAsia="en-AU"/>
              </w:rPr>
            </w:pPr>
            <w:r w:rsidRPr="00E7659A">
              <w:rPr>
                <w:rFonts w:cs="Calibri"/>
                <w:b/>
                <w:sz w:val="18"/>
                <w:szCs w:val="18"/>
                <w:lang w:eastAsia="en-AU"/>
              </w:rPr>
              <w:t>Lung cancer</w:t>
            </w:r>
          </w:p>
        </w:tc>
        <w:tc>
          <w:tcPr>
            <w:tcW w:w="5811" w:type="dxa"/>
            <w:tcBorders>
              <w:top w:val="nil"/>
              <w:left w:val="nil"/>
              <w:bottom w:val="single" w:sz="4" w:space="0" w:color="auto"/>
              <w:right w:val="single" w:sz="4" w:space="0" w:color="auto"/>
            </w:tcBorders>
            <w:shd w:val="clear" w:color="auto" w:fill="auto"/>
            <w:noWrap/>
            <w:vAlign w:val="center"/>
            <w:hideMark/>
          </w:tcPr>
          <w:p w14:paraId="494CDC49" w14:textId="77777777" w:rsidR="009210B8" w:rsidRPr="00D3686D" w:rsidRDefault="009210B8" w:rsidP="009210B8">
            <w:pPr>
              <w:spacing w:after="0" w:line="240" w:lineRule="auto"/>
              <w:rPr>
                <w:rFonts w:cs="Calibri"/>
                <w:sz w:val="18"/>
                <w:szCs w:val="18"/>
                <w:lang w:eastAsia="en-AU"/>
              </w:rPr>
            </w:pPr>
            <w:r w:rsidRPr="00D3686D">
              <w:rPr>
                <w:rFonts w:cs="Calibri"/>
                <w:sz w:val="18"/>
                <w:szCs w:val="18"/>
                <w:lang w:eastAsia="en-AU"/>
              </w:rPr>
              <w:t xml:space="preserve">30696, 30710, 38418, 38812, 38436, 38448, 41892, 41898, 61523 </w:t>
            </w:r>
          </w:p>
        </w:tc>
      </w:tr>
      <w:tr w:rsidR="009210B8" w:rsidRPr="00D3686D" w14:paraId="1D83A78D" w14:textId="77777777" w:rsidTr="009210B8">
        <w:trPr>
          <w:trHeight w:val="29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CEF7D07" w14:textId="77777777" w:rsidR="009210B8" w:rsidRPr="00E7659A" w:rsidRDefault="009210B8" w:rsidP="009210B8">
            <w:pPr>
              <w:spacing w:after="0" w:line="240" w:lineRule="auto"/>
              <w:rPr>
                <w:rFonts w:cs="Calibri"/>
                <w:b/>
                <w:sz w:val="18"/>
                <w:szCs w:val="18"/>
                <w:lang w:eastAsia="en-AU"/>
              </w:rPr>
            </w:pPr>
            <w:r w:rsidRPr="00E7659A">
              <w:rPr>
                <w:rFonts w:cs="Calibri"/>
                <w:b/>
                <w:sz w:val="18"/>
                <w:szCs w:val="18"/>
                <w:lang w:eastAsia="en-AU"/>
              </w:rPr>
              <w:t>Prostate cancer</w:t>
            </w:r>
          </w:p>
        </w:tc>
        <w:tc>
          <w:tcPr>
            <w:tcW w:w="5811" w:type="dxa"/>
            <w:tcBorders>
              <w:top w:val="nil"/>
              <w:left w:val="nil"/>
              <w:bottom w:val="single" w:sz="4" w:space="0" w:color="auto"/>
              <w:right w:val="single" w:sz="4" w:space="0" w:color="auto"/>
            </w:tcBorders>
            <w:shd w:val="clear" w:color="auto" w:fill="auto"/>
            <w:noWrap/>
            <w:vAlign w:val="center"/>
            <w:hideMark/>
          </w:tcPr>
          <w:p w14:paraId="3A9C6962" w14:textId="77777777" w:rsidR="009210B8" w:rsidRPr="00D3686D" w:rsidRDefault="009210B8" w:rsidP="009210B8">
            <w:pPr>
              <w:spacing w:after="0" w:line="240" w:lineRule="auto"/>
              <w:rPr>
                <w:rFonts w:cs="Calibri"/>
                <w:sz w:val="18"/>
                <w:szCs w:val="18"/>
                <w:lang w:eastAsia="en-AU"/>
              </w:rPr>
            </w:pPr>
            <w:r w:rsidRPr="00D3686D">
              <w:rPr>
                <w:rFonts w:cs="Calibri"/>
                <w:sz w:val="18"/>
                <w:szCs w:val="18"/>
                <w:lang w:eastAsia="en-AU"/>
              </w:rPr>
              <w:t>63541, 63542, 37212, 37215, 37218, 37219, 37226, 66655</w:t>
            </w:r>
          </w:p>
        </w:tc>
      </w:tr>
      <w:tr w:rsidR="009210B8" w:rsidRPr="00D3686D" w14:paraId="2DBE1927" w14:textId="77777777" w:rsidTr="009210B8">
        <w:trPr>
          <w:trHeight w:val="29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EBF829E" w14:textId="77777777" w:rsidR="009210B8" w:rsidRPr="00E7659A" w:rsidRDefault="009210B8" w:rsidP="009210B8">
            <w:pPr>
              <w:spacing w:after="0" w:line="240" w:lineRule="auto"/>
              <w:rPr>
                <w:rFonts w:cs="Calibri"/>
                <w:b/>
                <w:sz w:val="18"/>
                <w:szCs w:val="18"/>
                <w:lang w:eastAsia="en-AU"/>
              </w:rPr>
            </w:pPr>
            <w:r w:rsidRPr="00E7659A">
              <w:rPr>
                <w:rFonts w:cs="Calibri"/>
                <w:b/>
                <w:sz w:val="18"/>
                <w:szCs w:val="18"/>
                <w:lang w:eastAsia="en-AU"/>
              </w:rPr>
              <w:t>Stomach and pancreatic cancers</w:t>
            </w:r>
            <w:r w:rsidRPr="00E7659A">
              <w:rPr>
                <w:rStyle w:val="FootnoteReference"/>
                <w:rFonts w:cs="Calibri"/>
                <w:b/>
                <w:sz w:val="18"/>
                <w:szCs w:val="18"/>
                <w:lang w:eastAsia="en-AU"/>
              </w:rPr>
              <w:footnoteReference w:id="28"/>
            </w:r>
          </w:p>
        </w:tc>
        <w:tc>
          <w:tcPr>
            <w:tcW w:w="5811" w:type="dxa"/>
            <w:tcBorders>
              <w:top w:val="nil"/>
              <w:left w:val="nil"/>
              <w:bottom w:val="single" w:sz="4" w:space="0" w:color="auto"/>
              <w:right w:val="single" w:sz="4" w:space="0" w:color="auto"/>
            </w:tcBorders>
            <w:shd w:val="clear" w:color="auto" w:fill="auto"/>
            <w:noWrap/>
            <w:vAlign w:val="center"/>
            <w:hideMark/>
          </w:tcPr>
          <w:p w14:paraId="7402E2A7" w14:textId="77777777" w:rsidR="009210B8" w:rsidRPr="00D3686D" w:rsidRDefault="009210B8" w:rsidP="009210B8">
            <w:pPr>
              <w:spacing w:after="0" w:line="240" w:lineRule="auto"/>
              <w:rPr>
                <w:rFonts w:cs="Calibri"/>
                <w:sz w:val="18"/>
                <w:szCs w:val="18"/>
                <w:lang w:eastAsia="en-AU"/>
              </w:rPr>
            </w:pPr>
            <w:r w:rsidRPr="00D3686D">
              <w:rPr>
                <w:rFonts w:cs="Calibri"/>
                <w:sz w:val="18"/>
                <w:szCs w:val="18"/>
                <w:lang w:eastAsia="en-AU"/>
              </w:rPr>
              <w:t>30688, 30690, 30692, 30694, 61647, 41822</w:t>
            </w:r>
          </w:p>
        </w:tc>
      </w:tr>
      <w:tr w:rsidR="009210B8" w:rsidRPr="00D3686D" w14:paraId="7CAAD338" w14:textId="77777777" w:rsidTr="009210B8">
        <w:trPr>
          <w:trHeight w:val="29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0D7CA00" w14:textId="77777777" w:rsidR="009210B8" w:rsidRPr="00E7659A" w:rsidRDefault="009210B8" w:rsidP="009210B8">
            <w:pPr>
              <w:spacing w:after="0" w:line="240" w:lineRule="auto"/>
              <w:rPr>
                <w:rFonts w:cs="Calibri"/>
                <w:b/>
                <w:sz w:val="18"/>
                <w:szCs w:val="18"/>
                <w:lang w:eastAsia="en-AU"/>
              </w:rPr>
            </w:pPr>
            <w:r w:rsidRPr="00E7659A">
              <w:rPr>
                <w:rFonts w:cs="Calibri"/>
                <w:b/>
                <w:sz w:val="18"/>
                <w:szCs w:val="18"/>
                <w:lang w:eastAsia="en-AU"/>
              </w:rPr>
              <w:t>Uterine cancers</w:t>
            </w:r>
            <w:r w:rsidRPr="00E7659A">
              <w:rPr>
                <w:rStyle w:val="FootnoteReference"/>
                <w:rFonts w:cs="Calibri"/>
                <w:b/>
                <w:sz w:val="18"/>
                <w:szCs w:val="18"/>
                <w:lang w:eastAsia="en-AU"/>
              </w:rPr>
              <w:footnoteReference w:id="29"/>
            </w:r>
          </w:p>
        </w:tc>
        <w:tc>
          <w:tcPr>
            <w:tcW w:w="5811" w:type="dxa"/>
            <w:tcBorders>
              <w:top w:val="nil"/>
              <w:left w:val="nil"/>
              <w:bottom w:val="single" w:sz="4" w:space="0" w:color="auto"/>
              <w:right w:val="single" w:sz="4" w:space="0" w:color="auto"/>
            </w:tcBorders>
            <w:shd w:val="clear" w:color="auto" w:fill="auto"/>
            <w:noWrap/>
            <w:vAlign w:val="center"/>
            <w:hideMark/>
          </w:tcPr>
          <w:p w14:paraId="216D643A" w14:textId="77777777" w:rsidR="009210B8" w:rsidRPr="00D3686D" w:rsidRDefault="009210B8" w:rsidP="009210B8">
            <w:pPr>
              <w:spacing w:after="0" w:line="240" w:lineRule="auto"/>
              <w:rPr>
                <w:rFonts w:cs="Calibri"/>
                <w:sz w:val="18"/>
                <w:szCs w:val="18"/>
                <w:lang w:eastAsia="en-AU"/>
              </w:rPr>
            </w:pPr>
            <w:r w:rsidRPr="00D3686D">
              <w:rPr>
                <w:rFonts w:cs="Calibri"/>
                <w:sz w:val="18"/>
                <w:szCs w:val="18"/>
                <w:lang w:eastAsia="en-AU"/>
              </w:rPr>
              <w:t>35620</w:t>
            </w:r>
          </w:p>
        </w:tc>
      </w:tr>
    </w:tbl>
    <w:p w14:paraId="4075F67E" w14:textId="77777777" w:rsidR="009210B8" w:rsidRPr="00DC1B2B" w:rsidRDefault="009210B8" w:rsidP="009210B8">
      <w:pPr>
        <w:pStyle w:val="TableName"/>
      </w:pPr>
      <w:bookmarkStart w:id="186" w:name="_Toc81991499"/>
      <w:bookmarkStart w:id="187" w:name="_Toc83720973"/>
      <w:r w:rsidRPr="00DC1B2B">
        <w:t>Table</w:t>
      </w:r>
      <w:r w:rsidR="00A13570">
        <w:t xml:space="preserve"> A2</w:t>
      </w:r>
      <w:r>
        <w:tab/>
      </w:r>
      <w:r w:rsidRPr="00DC1B2B">
        <w:t xml:space="preserve">MBS item codes for cancer-related </w:t>
      </w:r>
      <w:r>
        <w:t xml:space="preserve">surgical and non-surgical </w:t>
      </w:r>
      <w:r w:rsidRPr="00DC1B2B">
        <w:t>therapeutic procedures</w:t>
      </w:r>
      <w:bookmarkEnd w:id="186"/>
      <w:bookmarkEnd w:id="187"/>
    </w:p>
    <w:tbl>
      <w:tblPr>
        <w:tblW w:w="9229" w:type="dxa"/>
        <w:tblCellMar>
          <w:left w:w="0" w:type="dxa"/>
          <w:right w:w="0" w:type="dxa"/>
        </w:tblCellMar>
        <w:tblLook w:val="04A0" w:firstRow="1" w:lastRow="0" w:firstColumn="1" w:lastColumn="0" w:noHBand="0" w:noVBand="1"/>
      </w:tblPr>
      <w:tblGrid>
        <w:gridCol w:w="3539"/>
        <w:gridCol w:w="5690"/>
      </w:tblGrid>
      <w:tr w:rsidR="009210B8" w14:paraId="23ADA024" w14:textId="77777777" w:rsidTr="00742820">
        <w:trPr>
          <w:trHeight w:val="428"/>
          <w:tblHeader/>
        </w:trPr>
        <w:tc>
          <w:tcPr>
            <w:tcW w:w="3539" w:type="dxa"/>
            <w:tcBorders>
              <w:top w:val="single" w:sz="4" w:space="0" w:color="auto"/>
              <w:left w:val="single" w:sz="4" w:space="0" w:color="auto"/>
              <w:bottom w:val="nil"/>
              <w:right w:val="single" w:sz="4" w:space="0" w:color="auto"/>
            </w:tcBorders>
            <w:shd w:val="clear" w:color="000000" w:fill="808080"/>
            <w:tcMar>
              <w:top w:w="15" w:type="dxa"/>
              <w:left w:w="15" w:type="dxa"/>
              <w:bottom w:w="0" w:type="dxa"/>
              <w:right w:w="15" w:type="dxa"/>
            </w:tcMar>
            <w:vAlign w:val="center"/>
            <w:hideMark/>
          </w:tcPr>
          <w:p w14:paraId="087E1006" w14:textId="77777777" w:rsidR="009210B8" w:rsidRDefault="009210B8" w:rsidP="009210B8">
            <w:pPr>
              <w:rPr>
                <w:rFonts w:cs="Calibri"/>
                <w:b/>
                <w:bCs/>
                <w:color w:val="FFFFFF"/>
                <w:sz w:val="18"/>
                <w:szCs w:val="18"/>
              </w:rPr>
            </w:pPr>
            <w:r>
              <w:rPr>
                <w:rFonts w:cs="Calibri"/>
                <w:b/>
                <w:bCs/>
                <w:color w:val="FFFFFF"/>
                <w:sz w:val="18"/>
                <w:szCs w:val="18"/>
              </w:rPr>
              <w:t>Cancer type</w:t>
            </w:r>
          </w:p>
        </w:tc>
        <w:tc>
          <w:tcPr>
            <w:tcW w:w="5690" w:type="dxa"/>
            <w:tcBorders>
              <w:top w:val="single" w:sz="4" w:space="0" w:color="auto"/>
              <w:left w:val="nil"/>
              <w:bottom w:val="nil"/>
              <w:right w:val="single" w:sz="4" w:space="0" w:color="auto"/>
            </w:tcBorders>
            <w:shd w:val="clear" w:color="000000" w:fill="808080"/>
            <w:tcMar>
              <w:top w:w="15" w:type="dxa"/>
              <w:left w:w="15" w:type="dxa"/>
              <w:bottom w:w="0" w:type="dxa"/>
              <w:right w:w="15" w:type="dxa"/>
            </w:tcMar>
            <w:vAlign w:val="center"/>
            <w:hideMark/>
          </w:tcPr>
          <w:p w14:paraId="67397E42" w14:textId="77777777" w:rsidR="009210B8" w:rsidRDefault="009210B8" w:rsidP="009210B8">
            <w:pPr>
              <w:rPr>
                <w:rFonts w:cs="Calibri"/>
                <w:b/>
                <w:bCs/>
                <w:color w:val="FFFFFF"/>
                <w:sz w:val="18"/>
                <w:szCs w:val="18"/>
              </w:rPr>
            </w:pPr>
            <w:r>
              <w:rPr>
                <w:rFonts w:cs="Calibri"/>
                <w:b/>
                <w:bCs/>
                <w:color w:val="FFFFFF"/>
                <w:sz w:val="18"/>
                <w:szCs w:val="18"/>
              </w:rPr>
              <w:t>MBS Item code</w:t>
            </w:r>
          </w:p>
        </w:tc>
      </w:tr>
      <w:tr w:rsidR="009210B8" w14:paraId="677D8353" w14:textId="77777777" w:rsidTr="00742820">
        <w:trPr>
          <w:trHeight w:val="428"/>
        </w:trPr>
        <w:tc>
          <w:tcPr>
            <w:tcW w:w="353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E549B6" w14:textId="77777777" w:rsidR="009210B8" w:rsidRPr="00E7659A" w:rsidRDefault="009210B8" w:rsidP="009210B8">
            <w:pPr>
              <w:spacing w:after="0"/>
              <w:rPr>
                <w:rFonts w:cs="Calibri"/>
                <w:b/>
                <w:sz w:val="18"/>
                <w:szCs w:val="18"/>
              </w:rPr>
            </w:pPr>
            <w:r w:rsidRPr="00E7659A">
              <w:rPr>
                <w:rFonts w:cs="Calibri"/>
                <w:b/>
                <w:sz w:val="18"/>
                <w:szCs w:val="18"/>
              </w:rPr>
              <w:t>Breast cancer</w:t>
            </w:r>
          </w:p>
        </w:tc>
        <w:tc>
          <w:tcPr>
            <w:tcW w:w="56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49B3A5" w14:textId="77777777" w:rsidR="009210B8" w:rsidRDefault="009210B8" w:rsidP="009210B8">
            <w:pPr>
              <w:spacing w:after="0"/>
              <w:rPr>
                <w:rFonts w:cs="Calibri"/>
                <w:sz w:val="18"/>
                <w:szCs w:val="18"/>
              </w:rPr>
            </w:pPr>
            <w:r>
              <w:rPr>
                <w:rFonts w:cs="Calibri"/>
                <w:sz w:val="18"/>
                <w:szCs w:val="18"/>
              </w:rPr>
              <w:t>31512, 31515, 31516, 31519, 31524</w:t>
            </w:r>
          </w:p>
        </w:tc>
      </w:tr>
      <w:tr w:rsidR="009210B8" w14:paraId="6717720A" w14:textId="77777777" w:rsidTr="00742820">
        <w:trPr>
          <w:trHeight w:val="428"/>
        </w:trPr>
        <w:tc>
          <w:tcPr>
            <w:tcW w:w="353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2404CE" w14:textId="77777777" w:rsidR="009210B8" w:rsidRPr="00E7659A" w:rsidRDefault="009210B8" w:rsidP="009210B8">
            <w:pPr>
              <w:spacing w:after="0"/>
              <w:rPr>
                <w:rFonts w:cs="Calibri"/>
                <w:b/>
                <w:sz w:val="18"/>
                <w:szCs w:val="18"/>
              </w:rPr>
            </w:pPr>
            <w:r w:rsidRPr="00E7659A">
              <w:rPr>
                <w:rFonts w:cs="Calibri"/>
                <w:b/>
                <w:sz w:val="18"/>
                <w:szCs w:val="18"/>
              </w:rPr>
              <w:t>Colorectal cancers</w:t>
            </w:r>
            <w:r w:rsidRPr="00E7659A">
              <w:rPr>
                <w:rStyle w:val="FootnoteReference"/>
                <w:rFonts w:cs="Calibri"/>
                <w:b/>
                <w:sz w:val="18"/>
                <w:szCs w:val="18"/>
              </w:rPr>
              <w:footnoteReference w:id="30"/>
            </w:r>
          </w:p>
        </w:tc>
        <w:tc>
          <w:tcPr>
            <w:tcW w:w="56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D94420" w14:textId="77777777" w:rsidR="009210B8" w:rsidRDefault="009210B8" w:rsidP="009210B8">
            <w:pPr>
              <w:spacing w:after="0"/>
              <w:rPr>
                <w:rFonts w:cs="Calibri"/>
                <w:sz w:val="18"/>
                <w:szCs w:val="18"/>
              </w:rPr>
            </w:pPr>
            <w:r>
              <w:rPr>
                <w:rFonts w:cs="Calibri"/>
                <w:sz w:val="18"/>
                <w:szCs w:val="18"/>
              </w:rPr>
              <w:t>32000, 32003, 32004, 32005, 32006, 32009, 32012, 32024, 32025, 32026, 32028, 32039, 32042, 32045, 32046, 32099, 32102, 32103, 32104, 32105, 32106, 32108, 32015, 32018, 32021, 32023, 32030, 32047, 32051, 32054, 32057</w:t>
            </w:r>
          </w:p>
        </w:tc>
      </w:tr>
      <w:tr w:rsidR="009210B8" w14:paraId="2262B56F" w14:textId="77777777" w:rsidTr="00742820">
        <w:trPr>
          <w:trHeight w:val="428"/>
        </w:trPr>
        <w:tc>
          <w:tcPr>
            <w:tcW w:w="353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7ED17D" w14:textId="77777777" w:rsidR="009210B8" w:rsidRPr="00E7659A" w:rsidRDefault="009210B8" w:rsidP="009210B8">
            <w:pPr>
              <w:spacing w:after="0"/>
              <w:rPr>
                <w:rFonts w:cs="Calibri"/>
                <w:b/>
                <w:sz w:val="18"/>
                <w:szCs w:val="18"/>
              </w:rPr>
            </w:pPr>
            <w:r w:rsidRPr="00E7659A">
              <w:rPr>
                <w:rFonts w:cs="Calibri"/>
                <w:b/>
                <w:sz w:val="18"/>
                <w:szCs w:val="18"/>
              </w:rPr>
              <w:t xml:space="preserve">Kidney cancer </w:t>
            </w:r>
          </w:p>
        </w:tc>
        <w:tc>
          <w:tcPr>
            <w:tcW w:w="56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375271" w14:textId="77777777" w:rsidR="009210B8" w:rsidRDefault="009210B8" w:rsidP="009210B8">
            <w:pPr>
              <w:spacing w:after="0"/>
              <w:rPr>
                <w:rFonts w:cs="Calibri"/>
                <w:sz w:val="18"/>
                <w:szCs w:val="18"/>
              </w:rPr>
            </w:pPr>
            <w:r>
              <w:rPr>
                <w:rFonts w:cs="Calibri"/>
                <w:sz w:val="18"/>
                <w:szCs w:val="18"/>
              </w:rPr>
              <w:t>36516, 36519, 36522, 36525, 36526, 36527, 36528, 36529, 36531, 36532, 36533, 43984, 43987</w:t>
            </w:r>
          </w:p>
        </w:tc>
      </w:tr>
      <w:tr w:rsidR="009210B8" w14:paraId="3734A788" w14:textId="77777777" w:rsidTr="00742820">
        <w:trPr>
          <w:trHeight w:val="428"/>
        </w:trPr>
        <w:tc>
          <w:tcPr>
            <w:tcW w:w="353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D72AE2" w14:textId="77777777" w:rsidR="009210B8" w:rsidRPr="00E7659A" w:rsidRDefault="009210B8" w:rsidP="009210B8">
            <w:pPr>
              <w:spacing w:after="0"/>
              <w:rPr>
                <w:rFonts w:cs="Calibri"/>
                <w:b/>
                <w:sz w:val="18"/>
                <w:szCs w:val="18"/>
              </w:rPr>
            </w:pPr>
            <w:r w:rsidRPr="00E7659A">
              <w:rPr>
                <w:rFonts w:cs="Calibri"/>
                <w:b/>
                <w:sz w:val="18"/>
                <w:szCs w:val="18"/>
              </w:rPr>
              <w:t>Liver cancer</w:t>
            </w:r>
          </w:p>
        </w:tc>
        <w:tc>
          <w:tcPr>
            <w:tcW w:w="56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C94E57C" w14:textId="77777777" w:rsidR="009210B8" w:rsidRDefault="009210B8" w:rsidP="009210B8">
            <w:pPr>
              <w:spacing w:after="0"/>
              <w:rPr>
                <w:rFonts w:cs="Calibri"/>
                <w:sz w:val="18"/>
                <w:szCs w:val="18"/>
              </w:rPr>
            </w:pPr>
            <w:r>
              <w:rPr>
                <w:rFonts w:cs="Calibri"/>
                <w:sz w:val="18"/>
                <w:szCs w:val="18"/>
              </w:rPr>
              <w:t>30414, 30415, 30418, 30421, 50950, 50952</w:t>
            </w:r>
          </w:p>
        </w:tc>
      </w:tr>
      <w:tr w:rsidR="009210B8" w14:paraId="439EA7CA" w14:textId="77777777" w:rsidTr="00742820">
        <w:trPr>
          <w:trHeight w:val="428"/>
        </w:trPr>
        <w:tc>
          <w:tcPr>
            <w:tcW w:w="353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0BCBF1" w14:textId="77777777" w:rsidR="009210B8" w:rsidRPr="00E7659A" w:rsidRDefault="009210B8" w:rsidP="009210B8">
            <w:pPr>
              <w:spacing w:after="0"/>
              <w:rPr>
                <w:rFonts w:cs="Calibri"/>
                <w:b/>
                <w:sz w:val="18"/>
                <w:szCs w:val="18"/>
              </w:rPr>
            </w:pPr>
            <w:r w:rsidRPr="00E7659A">
              <w:rPr>
                <w:rFonts w:cs="Calibri"/>
                <w:b/>
                <w:sz w:val="18"/>
                <w:szCs w:val="18"/>
              </w:rPr>
              <w:t>Lung cancer</w:t>
            </w:r>
          </w:p>
        </w:tc>
        <w:tc>
          <w:tcPr>
            <w:tcW w:w="56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9BDDF4" w14:textId="77777777" w:rsidR="009210B8" w:rsidRDefault="009210B8" w:rsidP="009210B8">
            <w:pPr>
              <w:spacing w:after="0"/>
              <w:rPr>
                <w:rFonts w:cs="Calibri"/>
                <w:sz w:val="18"/>
                <w:szCs w:val="18"/>
              </w:rPr>
            </w:pPr>
            <w:r>
              <w:rPr>
                <w:rFonts w:cs="Calibri"/>
                <w:sz w:val="18"/>
                <w:szCs w:val="18"/>
              </w:rPr>
              <w:t>38438, 38440, 38441, 41901</w:t>
            </w:r>
          </w:p>
        </w:tc>
      </w:tr>
      <w:tr w:rsidR="009210B8" w14:paraId="545EF55F" w14:textId="77777777" w:rsidTr="00742820">
        <w:trPr>
          <w:trHeight w:val="428"/>
        </w:trPr>
        <w:tc>
          <w:tcPr>
            <w:tcW w:w="353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97DB88" w14:textId="77777777" w:rsidR="009210B8" w:rsidRPr="00E7659A" w:rsidRDefault="009210B8" w:rsidP="009210B8">
            <w:pPr>
              <w:spacing w:after="0"/>
              <w:rPr>
                <w:rFonts w:cs="Calibri"/>
                <w:b/>
                <w:sz w:val="18"/>
                <w:szCs w:val="18"/>
              </w:rPr>
            </w:pPr>
            <w:r w:rsidRPr="00E7659A">
              <w:rPr>
                <w:rFonts w:cs="Calibri"/>
                <w:b/>
                <w:sz w:val="18"/>
                <w:szCs w:val="18"/>
              </w:rPr>
              <w:t>Melanoma skin cancers</w:t>
            </w:r>
            <w:r w:rsidRPr="00E7659A">
              <w:rPr>
                <w:rStyle w:val="FootnoteReference"/>
                <w:rFonts w:cs="Calibri"/>
                <w:b/>
                <w:sz w:val="18"/>
                <w:szCs w:val="18"/>
              </w:rPr>
              <w:footnoteReference w:id="31"/>
            </w:r>
          </w:p>
        </w:tc>
        <w:tc>
          <w:tcPr>
            <w:tcW w:w="56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CDC081" w14:textId="77777777" w:rsidR="009210B8" w:rsidRDefault="009210B8" w:rsidP="009210B8">
            <w:pPr>
              <w:spacing w:after="0"/>
              <w:rPr>
                <w:rFonts w:cs="Calibri"/>
                <w:sz w:val="18"/>
                <w:szCs w:val="18"/>
              </w:rPr>
            </w:pPr>
            <w:r>
              <w:rPr>
                <w:rFonts w:cs="Calibri"/>
                <w:sz w:val="18"/>
                <w:szCs w:val="18"/>
              </w:rPr>
              <w:t xml:space="preserve">31371, 31372, 31373, 31374, 31375, 31376, 31300*, 31305*, 31310*, 31315*, 31320*, 31325*, 31330*, 31335* </w:t>
            </w:r>
          </w:p>
        </w:tc>
      </w:tr>
      <w:tr w:rsidR="009210B8" w14:paraId="7A686729" w14:textId="77777777" w:rsidTr="00742820">
        <w:trPr>
          <w:trHeight w:val="428"/>
        </w:trPr>
        <w:tc>
          <w:tcPr>
            <w:tcW w:w="353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9F8158D" w14:textId="77777777" w:rsidR="009210B8" w:rsidRPr="00E7659A" w:rsidRDefault="009210B8" w:rsidP="009210B8">
            <w:pPr>
              <w:spacing w:after="0"/>
              <w:rPr>
                <w:rFonts w:cs="Calibri"/>
                <w:b/>
                <w:sz w:val="18"/>
                <w:szCs w:val="18"/>
              </w:rPr>
            </w:pPr>
            <w:r w:rsidRPr="00E7659A">
              <w:rPr>
                <w:rFonts w:cs="Calibri"/>
                <w:b/>
                <w:sz w:val="18"/>
                <w:szCs w:val="18"/>
              </w:rPr>
              <w:t xml:space="preserve">Prostate cancer (definitive treatment) </w:t>
            </w:r>
          </w:p>
        </w:tc>
        <w:tc>
          <w:tcPr>
            <w:tcW w:w="56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5FAC79" w14:textId="77777777" w:rsidR="009210B8" w:rsidRDefault="009210B8" w:rsidP="009210B8">
            <w:pPr>
              <w:spacing w:after="0"/>
              <w:rPr>
                <w:rFonts w:cs="Calibri"/>
                <w:sz w:val="18"/>
                <w:szCs w:val="18"/>
              </w:rPr>
            </w:pPr>
            <w:r>
              <w:rPr>
                <w:rFonts w:cs="Calibri"/>
                <w:sz w:val="18"/>
                <w:szCs w:val="18"/>
              </w:rPr>
              <w:t>15338, 37220, 37227, 37200, 37203, 37206, 37209, 37210, 37211, 37201, 37202, 37207, 37208, 37224, 37230, 37233</w:t>
            </w:r>
          </w:p>
        </w:tc>
      </w:tr>
      <w:tr w:rsidR="009210B8" w14:paraId="48C56592" w14:textId="77777777" w:rsidTr="00742820">
        <w:trPr>
          <w:trHeight w:val="428"/>
        </w:trPr>
        <w:tc>
          <w:tcPr>
            <w:tcW w:w="353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24A7B7F" w14:textId="77777777" w:rsidR="009210B8" w:rsidRPr="00E7659A" w:rsidRDefault="009210B8" w:rsidP="00742820">
            <w:pPr>
              <w:spacing w:after="0"/>
              <w:jc w:val="left"/>
              <w:rPr>
                <w:rFonts w:cs="Calibri"/>
                <w:b/>
                <w:sz w:val="18"/>
                <w:szCs w:val="18"/>
              </w:rPr>
            </w:pPr>
            <w:r w:rsidRPr="00E7659A">
              <w:rPr>
                <w:rFonts w:cs="Calibri"/>
                <w:b/>
                <w:sz w:val="18"/>
                <w:szCs w:val="18"/>
                <w:lang w:eastAsia="en-AU"/>
              </w:rPr>
              <w:t>Prostate cancer (monitoring of previously diagnosed disease)</w:t>
            </w:r>
          </w:p>
        </w:tc>
        <w:tc>
          <w:tcPr>
            <w:tcW w:w="56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E706451" w14:textId="77777777" w:rsidR="009210B8" w:rsidRDefault="009210B8" w:rsidP="009210B8">
            <w:pPr>
              <w:spacing w:after="0"/>
              <w:rPr>
                <w:rFonts w:cs="Calibri"/>
                <w:sz w:val="18"/>
                <w:szCs w:val="18"/>
              </w:rPr>
            </w:pPr>
            <w:r w:rsidRPr="00D3686D">
              <w:rPr>
                <w:rFonts w:cs="Calibri"/>
                <w:sz w:val="18"/>
                <w:szCs w:val="18"/>
                <w:lang w:eastAsia="en-AU"/>
              </w:rPr>
              <w:t>63543, 63544, 66656, 66659, 66660</w:t>
            </w:r>
          </w:p>
        </w:tc>
      </w:tr>
      <w:tr w:rsidR="009210B8" w14:paraId="1259D8E2" w14:textId="77777777" w:rsidTr="00742820">
        <w:trPr>
          <w:trHeight w:val="428"/>
        </w:trPr>
        <w:tc>
          <w:tcPr>
            <w:tcW w:w="353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D66C54" w14:textId="77777777" w:rsidR="009210B8" w:rsidRPr="00E7659A" w:rsidRDefault="009210B8" w:rsidP="009210B8">
            <w:pPr>
              <w:spacing w:after="0"/>
              <w:rPr>
                <w:rFonts w:cs="Calibri"/>
                <w:b/>
                <w:sz w:val="18"/>
                <w:szCs w:val="18"/>
              </w:rPr>
            </w:pPr>
            <w:r w:rsidRPr="00E7659A">
              <w:rPr>
                <w:rFonts w:cs="Calibri"/>
                <w:b/>
                <w:sz w:val="18"/>
                <w:szCs w:val="18"/>
              </w:rPr>
              <w:t>Pancreatic cancer</w:t>
            </w:r>
          </w:p>
        </w:tc>
        <w:tc>
          <w:tcPr>
            <w:tcW w:w="56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06A7A2" w14:textId="77777777" w:rsidR="009210B8" w:rsidRDefault="009210B8" w:rsidP="009210B8">
            <w:pPr>
              <w:spacing w:after="0"/>
              <w:rPr>
                <w:rFonts w:cs="Calibri"/>
                <w:sz w:val="18"/>
                <w:szCs w:val="18"/>
              </w:rPr>
            </w:pPr>
            <w:r>
              <w:rPr>
                <w:rFonts w:cs="Calibri"/>
                <w:sz w:val="18"/>
                <w:szCs w:val="18"/>
              </w:rPr>
              <w:t xml:space="preserve">30578, 30580, 30583, 30584, 30593, 30491 </w:t>
            </w:r>
          </w:p>
        </w:tc>
      </w:tr>
      <w:tr w:rsidR="009210B8" w14:paraId="4C6AA1BE" w14:textId="77777777" w:rsidTr="00742820">
        <w:trPr>
          <w:trHeight w:val="428"/>
        </w:trPr>
        <w:tc>
          <w:tcPr>
            <w:tcW w:w="353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BE20037" w14:textId="77777777" w:rsidR="009210B8" w:rsidRPr="00E7659A" w:rsidRDefault="009210B8" w:rsidP="009210B8">
            <w:pPr>
              <w:spacing w:after="0"/>
              <w:rPr>
                <w:rFonts w:cs="Calibri"/>
                <w:b/>
                <w:sz w:val="18"/>
                <w:szCs w:val="18"/>
              </w:rPr>
            </w:pPr>
            <w:r w:rsidRPr="00E7659A">
              <w:rPr>
                <w:rFonts w:cs="Calibri"/>
                <w:b/>
                <w:sz w:val="18"/>
                <w:szCs w:val="18"/>
              </w:rPr>
              <w:lastRenderedPageBreak/>
              <w:t>Stomach cancer</w:t>
            </w:r>
          </w:p>
        </w:tc>
        <w:tc>
          <w:tcPr>
            <w:tcW w:w="56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82EF49A" w14:textId="77777777" w:rsidR="009210B8" w:rsidRDefault="009210B8" w:rsidP="009210B8">
            <w:pPr>
              <w:spacing w:after="0"/>
              <w:rPr>
                <w:rFonts w:cs="Calibri"/>
                <w:sz w:val="18"/>
                <w:szCs w:val="18"/>
              </w:rPr>
            </w:pPr>
            <w:r>
              <w:rPr>
                <w:rFonts w:cs="Calibri"/>
                <w:sz w:val="18"/>
                <w:szCs w:val="18"/>
              </w:rPr>
              <w:t>30518, 30520, 30523, 30524, 30526</w:t>
            </w:r>
          </w:p>
        </w:tc>
      </w:tr>
      <w:tr w:rsidR="009210B8" w14:paraId="6950D7B7" w14:textId="77777777" w:rsidTr="00742820">
        <w:trPr>
          <w:trHeight w:val="428"/>
        </w:trPr>
        <w:tc>
          <w:tcPr>
            <w:tcW w:w="353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1CBE225" w14:textId="77777777" w:rsidR="009210B8" w:rsidRPr="00E7659A" w:rsidRDefault="009210B8" w:rsidP="009210B8">
            <w:pPr>
              <w:spacing w:after="0"/>
              <w:rPr>
                <w:rFonts w:cs="Calibri"/>
                <w:b/>
                <w:sz w:val="18"/>
                <w:szCs w:val="18"/>
              </w:rPr>
            </w:pPr>
            <w:r w:rsidRPr="00E7659A">
              <w:rPr>
                <w:rFonts w:cs="Calibri"/>
                <w:b/>
                <w:sz w:val="18"/>
                <w:szCs w:val="18"/>
              </w:rPr>
              <w:t>Gynaecological cancers</w:t>
            </w:r>
          </w:p>
        </w:tc>
        <w:tc>
          <w:tcPr>
            <w:tcW w:w="56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AF8366" w14:textId="77777777" w:rsidR="009210B8" w:rsidRDefault="009210B8" w:rsidP="009210B8">
            <w:pPr>
              <w:spacing w:after="0"/>
              <w:rPr>
                <w:rFonts w:cs="Calibri"/>
                <w:sz w:val="18"/>
                <w:szCs w:val="18"/>
              </w:rPr>
            </w:pPr>
            <w:r>
              <w:rPr>
                <w:rFonts w:cs="Calibri"/>
                <w:sz w:val="18"/>
                <w:szCs w:val="18"/>
              </w:rPr>
              <w:t>35664, 35667, 15308, 15316, 15324, 35720, 35713, 35717, 35536, 35548, 35557, 35560, 35561, 35562, 35564, 35644,35645, 35646, 35647, 35648</w:t>
            </w:r>
          </w:p>
        </w:tc>
      </w:tr>
    </w:tbl>
    <w:p w14:paraId="5D706477" w14:textId="77777777" w:rsidR="009210B8" w:rsidRDefault="009210B8" w:rsidP="009210B8">
      <w:pPr>
        <w:rPr>
          <w:b/>
          <w:sz w:val="22"/>
          <w:szCs w:val="22"/>
        </w:rPr>
      </w:pPr>
    </w:p>
    <w:p w14:paraId="3BCB1308" w14:textId="77777777" w:rsidR="009210B8" w:rsidRDefault="009210B8" w:rsidP="00742820">
      <w:pPr>
        <w:pStyle w:val="Heading1a"/>
      </w:pPr>
      <w:bookmarkStart w:id="188" w:name="_Toc84363200"/>
      <w:bookmarkStart w:id="189" w:name="_Toc227554734"/>
      <w:bookmarkStart w:id="190" w:name="_Toc16568495"/>
      <w:bookmarkStart w:id="191" w:name="_Toc20843608"/>
      <w:bookmarkStart w:id="192" w:name="_Toc20845621"/>
      <w:bookmarkStart w:id="193" w:name="_Toc43862678"/>
      <w:bookmarkStart w:id="194" w:name="_Toc47757695"/>
      <w:bookmarkStart w:id="195" w:name="_Toc486647240"/>
      <w:bookmarkStart w:id="196" w:name="_Toc515512632"/>
      <w:r>
        <w:lastRenderedPageBreak/>
        <w:t>Appendix B</w:t>
      </w:r>
      <w:bookmarkEnd w:id="188"/>
      <w:r>
        <w:tab/>
      </w:r>
    </w:p>
    <w:p w14:paraId="78A5DFA9" w14:textId="77777777" w:rsidR="009210B8" w:rsidRPr="008E426F" w:rsidRDefault="009210B8" w:rsidP="00742820">
      <w:pPr>
        <w:pStyle w:val="TableName"/>
      </w:pPr>
      <w:bookmarkStart w:id="197" w:name="_Ref79624779"/>
      <w:bookmarkStart w:id="198" w:name="_Ref79624784"/>
      <w:bookmarkStart w:id="199" w:name="_Toc81991500"/>
      <w:bookmarkStart w:id="200" w:name="_Toc83720974"/>
      <w:r w:rsidRPr="008E426F">
        <w:t>Table</w:t>
      </w:r>
      <w:r w:rsidR="00A13570">
        <w:t xml:space="preserve"> </w:t>
      </w:r>
      <w:bookmarkEnd w:id="197"/>
      <w:r w:rsidR="00A13570">
        <w:t>B1</w:t>
      </w:r>
      <w:r w:rsidR="00742820">
        <w:tab/>
      </w:r>
      <w:r w:rsidRPr="008E426F">
        <w:t>Annual observed and expected services for cancer-related diagnostic procedures</w:t>
      </w:r>
      <w:r w:rsidRPr="00742820">
        <w:footnoteReference w:id="32"/>
      </w:r>
      <w:r w:rsidRPr="008E426F">
        <w:t xml:space="preserve"> in 2020, by jurisdiction</w:t>
      </w:r>
      <w:bookmarkEnd w:id="198"/>
      <w:bookmarkEnd w:id="199"/>
      <w:bookmarkEnd w:id="200"/>
    </w:p>
    <w:tbl>
      <w:tblPr>
        <w:tblW w:w="7850" w:type="dxa"/>
        <w:tblLook w:val="04A0" w:firstRow="1" w:lastRow="0" w:firstColumn="1" w:lastColumn="0" w:noHBand="0" w:noVBand="1"/>
      </w:tblPr>
      <w:tblGrid>
        <w:gridCol w:w="1407"/>
        <w:gridCol w:w="1411"/>
        <w:gridCol w:w="1586"/>
        <w:gridCol w:w="985"/>
        <w:gridCol w:w="1267"/>
        <w:gridCol w:w="1180"/>
        <w:gridCol w:w="7"/>
        <w:gridCol w:w="7"/>
      </w:tblGrid>
      <w:tr w:rsidR="009210B8" w:rsidRPr="0055027D" w14:paraId="53D68B3E" w14:textId="77777777" w:rsidTr="009210B8">
        <w:trPr>
          <w:gridAfter w:val="1"/>
          <w:wAfter w:w="7" w:type="dxa"/>
          <w:trHeight w:val="290"/>
          <w:tblHeader/>
        </w:trPr>
        <w:tc>
          <w:tcPr>
            <w:tcW w:w="1413"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0E825AB9" w14:textId="77777777" w:rsidR="009210B8" w:rsidRPr="00F85FA9" w:rsidRDefault="009210B8" w:rsidP="009210B8">
            <w:pPr>
              <w:spacing w:after="0" w:line="240" w:lineRule="auto"/>
              <w:jc w:val="center"/>
              <w:rPr>
                <w:rFonts w:cs="Calibri"/>
                <w:b/>
                <w:bCs/>
                <w:color w:val="FFFFFF"/>
                <w:sz w:val="18"/>
                <w:szCs w:val="18"/>
                <w:lang w:eastAsia="en-AU"/>
              </w:rPr>
            </w:pPr>
            <w:r w:rsidRPr="00F85FA9">
              <w:rPr>
                <w:rFonts w:cs="Calibri"/>
                <w:b/>
                <w:bCs/>
                <w:color w:val="FFFFFF"/>
                <w:sz w:val="18"/>
                <w:szCs w:val="18"/>
                <w:lang w:eastAsia="en-AU"/>
              </w:rPr>
              <w:t>Cancer type</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39DF164B" w14:textId="77777777" w:rsidR="009210B8" w:rsidRPr="00F85FA9" w:rsidRDefault="009210B8" w:rsidP="009210B8">
            <w:pPr>
              <w:spacing w:after="0" w:line="240" w:lineRule="auto"/>
              <w:jc w:val="center"/>
              <w:rPr>
                <w:rFonts w:cs="Calibri"/>
                <w:b/>
                <w:bCs/>
                <w:color w:val="FFFFFF"/>
                <w:sz w:val="18"/>
                <w:szCs w:val="18"/>
                <w:lang w:eastAsia="en-AU"/>
              </w:rPr>
            </w:pPr>
            <w:r w:rsidRPr="00F85FA9">
              <w:rPr>
                <w:rFonts w:cs="Calibri"/>
                <w:b/>
                <w:bCs/>
                <w:color w:val="FFFFFF"/>
                <w:sz w:val="18"/>
                <w:szCs w:val="18"/>
                <w:lang w:eastAsia="en-AU"/>
              </w:rPr>
              <w:t>Observed</w:t>
            </w:r>
          </w:p>
        </w:tc>
        <w:tc>
          <w:tcPr>
            <w:tcW w:w="1562"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3E66FFBB" w14:textId="77777777" w:rsidR="009210B8" w:rsidRPr="00F85FA9" w:rsidRDefault="009210B8" w:rsidP="009210B8">
            <w:pPr>
              <w:spacing w:after="0" w:line="240" w:lineRule="auto"/>
              <w:jc w:val="center"/>
              <w:rPr>
                <w:rFonts w:cs="Calibri"/>
                <w:b/>
                <w:bCs/>
                <w:color w:val="FFFFFF"/>
                <w:sz w:val="18"/>
                <w:szCs w:val="18"/>
                <w:lang w:eastAsia="en-AU"/>
              </w:rPr>
            </w:pPr>
            <w:r w:rsidRPr="00F85FA9">
              <w:rPr>
                <w:rFonts w:cs="Calibri"/>
                <w:b/>
                <w:bCs/>
                <w:color w:val="FFFFFF"/>
                <w:sz w:val="18"/>
                <w:szCs w:val="18"/>
                <w:lang w:eastAsia="en-AU"/>
              </w:rPr>
              <w:t>Expected</w:t>
            </w:r>
            <w:r>
              <w:rPr>
                <w:rStyle w:val="FootnoteReference"/>
                <w:rFonts w:cs="Calibri"/>
                <w:b/>
                <w:bCs/>
                <w:color w:val="FFFFFF"/>
                <w:sz w:val="18"/>
                <w:szCs w:val="18"/>
                <w:lang w:eastAsia="en-AU"/>
              </w:rPr>
              <w:footnoteReference w:id="33"/>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106D8386" w14:textId="77777777" w:rsidR="009210B8" w:rsidRPr="00F85FA9" w:rsidRDefault="009210B8" w:rsidP="009210B8">
            <w:pPr>
              <w:spacing w:after="0" w:line="240" w:lineRule="auto"/>
              <w:jc w:val="center"/>
              <w:rPr>
                <w:rFonts w:cs="Calibri"/>
                <w:b/>
                <w:bCs/>
                <w:color w:val="FFFFFF"/>
                <w:sz w:val="18"/>
                <w:szCs w:val="18"/>
                <w:lang w:eastAsia="en-AU"/>
              </w:rPr>
            </w:pPr>
            <w:r w:rsidRPr="00F85FA9">
              <w:rPr>
                <w:rFonts w:cs="Calibri"/>
                <w:b/>
                <w:bCs/>
                <w:color w:val="FFFFFF"/>
                <w:sz w:val="18"/>
                <w:szCs w:val="18"/>
                <w:lang w:eastAsia="en-AU"/>
              </w:rPr>
              <w:t>Ratio</w:t>
            </w:r>
          </w:p>
        </w:tc>
        <w:tc>
          <w:tcPr>
            <w:tcW w:w="2461" w:type="dxa"/>
            <w:gridSpan w:val="3"/>
            <w:tcBorders>
              <w:top w:val="single" w:sz="4" w:space="0" w:color="auto"/>
              <w:left w:val="nil"/>
              <w:bottom w:val="single" w:sz="4" w:space="0" w:color="auto"/>
              <w:right w:val="single" w:sz="4" w:space="0" w:color="auto"/>
            </w:tcBorders>
            <w:shd w:val="clear" w:color="000000" w:fill="808080"/>
            <w:vAlign w:val="center"/>
            <w:hideMark/>
          </w:tcPr>
          <w:p w14:paraId="545B764F" w14:textId="77777777" w:rsidR="009210B8" w:rsidRPr="00F85FA9" w:rsidRDefault="009210B8" w:rsidP="009210B8">
            <w:pPr>
              <w:spacing w:after="0" w:line="240" w:lineRule="auto"/>
              <w:jc w:val="center"/>
              <w:rPr>
                <w:rFonts w:cs="Calibri"/>
                <w:b/>
                <w:bCs/>
                <w:color w:val="FFFFFF"/>
                <w:sz w:val="18"/>
                <w:szCs w:val="18"/>
                <w:lang w:eastAsia="en-AU"/>
              </w:rPr>
            </w:pPr>
            <w:r w:rsidRPr="00F85FA9">
              <w:rPr>
                <w:rFonts w:cs="Calibri"/>
                <w:b/>
                <w:bCs/>
                <w:color w:val="FFFFFF"/>
                <w:sz w:val="18"/>
                <w:szCs w:val="18"/>
                <w:lang w:eastAsia="en-AU"/>
              </w:rPr>
              <w:t>Difference</w:t>
            </w:r>
          </w:p>
        </w:tc>
      </w:tr>
      <w:tr w:rsidR="009210B8" w:rsidRPr="0055027D" w14:paraId="571B2600" w14:textId="77777777" w:rsidTr="009210B8">
        <w:trPr>
          <w:gridAfter w:val="2"/>
          <w:wAfter w:w="14" w:type="dxa"/>
          <w:trHeight w:val="480"/>
          <w:tblHead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8A89B7E" w14:textId="77777777" w:rsidR="009210B8" w:rsidRPr="00F85FA9" w:rsidRDefault="009210B8" w:rsidP="009210B8">
            <w:pPr>
              <w:spacing w:after="0" w:line="240" w:lineRule="auto"/>
              <w:rPr>
                <w:rFonts w:cs="Calibri"/>
                <w:b/>
                <w:bCs/>
                <w:color w:val="FFFFFF"/>
                <w:sz w:val="18"/>
                <w:szCs w:val="18"/>
                <w:lang w:eastAsia="en-A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762260A" w14:textId="77777777" w:rsidR="009210B8" w:rsidRPr="00F85FA9" w:rsidRDefault="009210B8" w:rsidP="009210B8">
            <w:pPr>
              <w:spacing w:after="0" w:line="240" w:lineRule="auto"/>
              <w:rPr>
                <w:rFonts w:cs="Calibri"/>
                <w:b/>
                <w:bCs/>
                <w:color w:val="FFFFFF"/>
                <w:sz w:val="18"/>
                <w:szCs w:val="18"/>
                <w:lang w:eastAsia="en-AU"/>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7B5A0B5F" w14:textId="77777777" w:rsidR="009210B8" w:rsidRPr="00F85FA9" w:rsidRDefault="009210B8" w:rsidP="009210B8">
            <w:pPr>
              <w:spacing w:after="0" w:line="240" w:lineRule="auto"/>
              <w:rPr>
                <w:rFonts w:cs="Calibri"/>
                <w:b/>
                <w:bCs/>
                <w:color w:val="FFFFFF"/>
                <w:sz w:val="18"/>
                <w:szCs w:val="18"/>
                <w:lang w:eastAsia="en-AU"/>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8732F20" w14:textId="77777777" w:rsidR="009210B8" w:rsidRPr="00F85FA9" w:rsidRDefault="009210B8" w:rsidP="009210B8">
            <w:pPr>
              <w:spacing w:after="0" w:line="240" w:lineRule="auto"/>
              <w:rPr>
                <w:rFonts w:cs="Calibri"/>
                <w:b/>
                <w:bCs/>
                <w:color w:val="FFFFFF"/>
                <w:sz w:val="18"/>
                <w:szCs w:val="18"/>
                <w:lang w:eastAsia="en-AU"/>
              </w:rPr>
            </w:pPr>
          </w:p>
        </w:tc>
        <w:tc>
          <w:tcPr>
            <w:tcW w:w="1273" w:type="dxa"/>
            <w:tcBorders>
              <w:top w:val="nil"/>
              <w:left w:val="nil"/>
              <w:bottom w:val="single" w:sz="4" w:space="0" w:color="auto"/>
              <w:right w:val="single" w:sz="4" w:space="0" w:color="auto"/>
            </w:tcBorders>
            <w:shd w:val="clear" w:color="000000" w:fill="808080"/>
            <w:vAlign w:val="center"/>
            <w:hideMark/>
          </w:tcPr>
          <w:p w14:paraId="05E3C2F5" w14:textId="77777777" w:rsidR="009210B8" w:rsidRPr="00F85FA9" w:rsidRDefault="009210B8" w:rsidP="009210B8">
            <w:pPr>
              <w:spacing w:after="0" w:line="240" w:lineRule="auto"/>
              <w:rPr>
                <w:rFonts w:cs="Calibri"/>
                <w:b/>
                <w:bCs/>
                <w:color w:val="FFFFFF"/>
                <w:sz w:val="18"/>
                <w:szCs w:val="18"/>
                <w:lang w:eastAsia="en-AU"/>
              </w:rPr>
            </w:pPr>
            <w:r w:rsidRPr="00F85FA9">
              <w:rPr>
                <w:rFonts w:cs="Calibri"/>
                <w:b/>
                <w:bCs/>
                <w:color w:val="FFFFFF"/>
                <w:sz w:val="18"/>
                <w:szCs w:val="18"/>
                <w:lang w:eastAsia="en-AU"/>
              </w:rPr>
              <w:t>Number of services</w:t>
            </w:r>
          </w:p>
        </w:tc>
        <w:tc>
          <w:tcPr>
            <w:tcW w:w="1181" w:type="dxa"/>
            <w:tcBorders>
              <w:top w:val="nil"/>
              <w:left w:val="nil"/>
              <w:bottom w:val="single" w:sz="4" w:space="0" w:color="auto"/>
              <w:right w:val="single" w:sz="4" w:space="0" w:color="auto"/>
            </w:tcBorders>
            <w:shd w:val="clear" w:color="000000" w:fill="808080"/>
            <w:vAlign w:val="center"/>
            <w:hideMark/>
          </w:tcPr>
          <w:p w14:paraId="0DBAECCD" w14:textId="77777777" w:rsidR="009210B8" w:rsidRPr="00F85FA9" w:rsidRDefault="009210B8" w:rsidP="009210B8">
            <w:pPr>
              <w:spacing w:after="0" w:line="240" w:lineRule="auto"/>
              <w:rPr>
                <w:rFonts w:cs="Calibri"/>
                <w:b/>
                <w:bCs/>
                <w:color w:val="FFFFFF"/>
                <w:sz w:val="18"/>
                <w:szCs w:val="18"/>
                <w:lang w:eastAsia="en-AU"/>
              </w:rPr>
            </w:pPr>
            <w:r w:rsidRPr="00F85FA9">
              <w:rPr>
                <w:rFonts w:cs="Calibri"/>
                <w:b/>
                <w:bCs/>
                <w:color w:val="FFFFFF"/>
                <w:sz w:val="18"/>
                <w:szCs w:val="18"/>
                <w:lang w:eastAsia="en-AU"/>
              </w:rPr>
              <w:t>% difference</w:t>
            </w:r>
          </w:p>
        </w:tc>
      </w:tr>
      <w:tr w:rsidR="009210B8" w:rsidRPr="0055027D" w14:paraId="20CB9083" w14:textId="77777777" w:rsidTr="009210B8">
        <w:trPr>
          <w:trHeight w:val="290"/>
        </w:trPr>
        <w:tc>
          <w:tcPr>
            <w:tcW w:w="7850" w:type="dxa"/>
            <w:gridSpan w:val="8"/>
            <w:tcBorders>
              <w:top w:val="single" w:sz="4" w:space="0" w:color="auto"/>
              <w:left w:val="single" w:sz="4" w:space="0" w:color="auto"/>
              <w:bottom w:val="single" w:sz="4" w:space="0" w:color="auto"/>
              <w:right w:val="single" w:sz="4" w:space="0" w:color="auto"/>
            </w:tcBorders>
            <w:shd w:val="clear" w:color="000000" w:fill="A6A6A6"/>
            <w:vAlign w:val="center"/>
            <w:hideMark/>
          </w:tcPr>
          <w:p w14:paraId="478DAA50" w14:textId="77777777" w:rsidR="009210B8" w:rsidRPr="00F85FA9" w:rsidRDefault="009210B8" w:rsidP="009210B8">
            <w:pPr>
              <w:spacing w:after="0" w:line="240" w:lineRule="auto"/>
              <w:rPr>
                <w:rFonts w:cs="Calibri"/>
                <w:b/>
                <w:sz w:val="18"/>
                <w:szCs w:val="18"/>
                <w:lang w:eastAsia="en-AU"/>
              </w:rPr>
            </w:pPr>
            <w:r w:rsidRPr="00F85FA9">
              <w:rPr>
                <w:rFonts w:cs="Calibri"/>
                <w:b/>
                <w:sz w:val="18"/>
                <w:szCs w:val="18"/>
                <w:lang w:eastAsia="en-AU"/>
              </w:rPr>
              <w:t>Breast cancer</w:t>
            </w:r>
          </w:p>
        </w:tc>
      </w:tr>
      <w:tr w:rsidR="009210B8" w:rsidRPr="0055027D" w14:paraId="68BDC3DB"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C73B613" w14:textId="77777777" w:rsidR="009210B8" w:rsidRPr="00F85FA9" w:rsidRDefault="009210B8" w:rsidP="009210B8">
            <w:pPr>
              <w:spacing w:after="0" w:line="240" w:lineRule="auto"/>
              <w:rPr>
                <w:rFonts w:cs="Calibri"/>
                <w:b/>
                <w:sz w:val="18"/>
                <w:szCs w:val="18"/>
                <w:lang w:eastAsia="en-AU"/>
              </w:rPr>
            </w:pPr>
            <w:r>
              <w:rPr>
                <w:rFonts w:cs="Calibri"/>
                <w:b/>
                <w:sz w:val="18"/>
                <w:szCs w:val="18"/>
                <w:lang w:eastAsia="en-AU"/>
              </w:rPr>
              <w:t>NSW/ACT</w:t>
            </w:r>
          </w:p>
        </w:tc>
        <w:tc>
          <w:tcPr>
            <w:tcW w:w="1417" w:type="dxa"/>
            <w:tcBorders>
              <w:top w:val="nil"/>
              <w:left w:val="nil"/>
              <w:bottom w:val="single" w:sz="4" w:space="0" w:color="auto"/>
              <w:right w:val="single" w:sz="4" w:space="0" w:color="auto"/>
            </w:tcBorders>
            <w:shd w:val="clear" w:color="auto" w:fill="auto"/>
            <w:vAlign w:val="center"/>
            <w:hideMark/>
          </w:tcPr>
          <w:p w14:paraId="3E1CD17E" w14:textId="77777777" w:rsidR="009210B8" w:rsidRPr="00F85FA9" w:rsidRDefault="009210B8" w:rsidP="009210B8">
            <w:pPr>
              <w:spacing w:after="0" w:line="240" w:lineRule="auto"/>
              <w:jc w:val="right"/>
              <w:rPr>
                <w:rFonts w:cs="Calibri"/>
                <w:sz w:val="18"/>
                <w:szCs w:val="18"/>
                <w:lang w:eastAsia="en-AU"/>
              </w:rPr>
            </w:pPr>
            <w:r w:rsidRPr="00F85FA9">
              <w:rPr>
                <w:rFonts w:cs="Calibri"/>
                <w:sz w:val="18"/>
                <w:szCs w:val="18"/>
                <w:lang w:eastAsia="en-AU"/>
              </w:rPr>
              <w:t>202,034</w:t>
            </w:r>
          </w:p>
        </w:tc>
        <w:tc>
          <w:tcPr>
            <w:tcW w:w="1562" w:type="dxa"/>
            <w:tcBorders>
              <w:top w:val="nil"/>
              <w:left w:val="nil"/>
              <w:bottom w:val="single" w:sz="4" w:space="0" w:color="auto"/>
              <w:right w:val="single" w:sz="4" w:space="0" w:color="auto"/>
            </w:tcBorders>
            <w:shd w:val="clear" w:color="auto" w:fill="auto"/>
            <w:vAlign w:val="center"/>
            <w:hideMark/>
          </w:tcPr>
          <w:p w14:paraId="729D9966" w14:textId="77777777" w:rsidR="009210B8" w:rsidRPr="00F85FA9" w:rsidRDefault="009210B8" w:rsidP="009210B8">
            <w:pPr>
              <w:spacing w:after="0" w:line="240" w:lineRule="auto"/>
              <w:jc w:val="right"/>
              <w:rPr>
                <w:rFonts w:cs="Calibri"/>
                <w:sz w:val="18"/>
                <w:szCs w:val="18"/>
                <w:lang w:eastAsia="en-AU"/>
              </w:rPr>
            </w:pPr>
            <w:r w:rsidRPr="00F85FA9">
              <w:rPr>
                <w:rFonts w:cs="Calibri"/>
                <w:sz w:val="18"/>
                <w:szCs w:val="18"/>
                <w:lang w:eastAsia="en-AU"/>
              </w:rPr>
              <w:t>208,722</w:t>
            </w:r>
          </w:p>
        </w:tc>
        <w:tc>
          <w:tcPr>
            <w:tcW w:w="990" w:type="dxa"/>
            <w:tcBorders>
              <w:top w:val="nil"/>
              <w:left w:val="nil"/>
              <w:bottom w:val="single" w:sz="4" w:space="0" w:color="auto"/>
              <w:right w:val="single" w:sz="4" w:space="0" w:color="auto"/>
            </w:tcBorders>
            <w:shd w:val="clear" w:color="auto" w:fill="auto"/>
            <w:vAlign w:val="center"/>
            <w:hideMark/>
          </w:tcPr>
          <w:p w14:paraId="2312DAF6" w14:textId="77777777" w:rsidR="009210B8" w:rsidRPr="00F85FA9" w:rsidRDefault="009210B8" w:rsidP="009210B8">
            <w:pPr>
              <w:spacing w:after="0" w:line="240" w:lineRule="auto"/>
              <w:jc w:val="right"/>
              <w:rPr>
                <w:rFonts w:cs="Calibri"/>
                <w:sz w:val="18"/>
                <w:szCs w:val="18"/>
                <w:lang w:eastAsia="en-AU"/>
              </w:rPr>
            </w:pPr>
            <w:r w:rsidRPr="00F85FA9">
              <w:rPr>
                <w:rFonts w:cs="Calibri"/>
                <w:sz w:val="18"/>
                <w:szCs w:val="18"/>
                <w:lang w:eastAsia="en-AU"/>
              </w:rPr>
              <w:t>0.9</w:t>
            </w:r>
            <w:r>
              <w:rPr>
                <w:rFonts w:cs="Calibri"/>
                <w:sz w:val="18"/>
                <w:szCs w:val="18"/>
                <w:lang w:eastAsia="en-AU"/>
              </w:rPr>
              <w:t>7</w:t>
            </w:r>
          </w:p>
        </w:tc>
        <w:tc>
          <w:tcPr>
            <w:tcW w:w="1273" w:type="dxa"/>
            <w:tcBorders>
              <w:top w:val="nil"/>
              <w:left w:val="nil"/>
              <w:bottom w:val="single" w:sz="4" w:space="0" w:color="auto"/>
              <w:right w:val="single" w:sz="4" w:space="0" w:color="auto"/>
            </w:tcBorders>
            <w:shd w:val="clear" w:color="auto" w:fill="auto"/>
            <w:vAlign w:val="center"/>
            <w:hideMark/>
          </w:tcPr>
          <w:p w14:paraId="2566E16A" w14:textId="77777777" w:rsidR="009210B8" w:rsidRPr="00F85FA9" w:rsidRDefault="009210B8" w:rsidP="009210B8">
            <w:pPr>
              <w:spacing w:after="0" w:line="240" w:lineRule="auto"/>
              <w:jc w:val="right"/>
              <w:rPr>
                <w:rFonts w:cs="Calibri"/>
                <w:sz w:val="18"/>
                <w:szCs w:val="18"/>
                <w:lang w:eastAsia="en-AU"/>
              </w:rPr>
            </w:pPr>
            <w:r w:rsidRPr="00F85FA9">
              <w:rPr>
                <w:rFonts w:cs="Calibri"/>
                <w:sz w:val="18"/>
                <w:szCs w:val="18"/>
                <w:lang w:eastAsia="en-AU"/>
              </w:rPr>
              <w:t>-6,688</w:t>
            </w:r>
          </w:p>
        </w:tc>
        <w:tc>
          <w:tcPr>
            <w:tcW w:w="1181" w:type="dxa"/>
            <w:tcBorders>
              <w:top w:val="nil"/>
              <w:left w:val="nil"/>
              <w:bottom w:val="single" w:sz="4" w:space="0" w:color="auto"/>
              <w:right w:val="single" w:sz="4" w:space="0" w:color="auto"/>
            </w:tcBorders>
            <w:shd w:val="clear" w:color="auto" w:fill="auto"/>
            <w:vAlign w:val="center"/>
            <w:hideMark/>
          </w:tcPr>
          <w:p w14:paraId="76E2755F" w14:textId="77777777" w:rsidR="009210B8" w:rsidRPr="00F85FA9" w:rsidRDefault="009210B8" w:rsidP="009210B8">
            <w:pPr>
              <w:spacing w:after="0" w:line="240" w:lineRule="auto"/>
              <w:jc w:val="right"/>
              <w:rPr>
                <w:rFonts w:cs="Calibri"/>
                <w:sz w:val="18"/>
                <w:szCs w:val="18"/>
                <w:lang w:eastAsia="en-AU"/>
              </w:rPr>
            </w:pPr>
            <w:r>
              <w:rPr>
                <w:rFonts w:cs="Calibri"/>
                <w:sz w:val="18"/>
                <w:szCs w:val="18"/>
                <w:lang w:eastAsia="en-AU"/>
              </w:rPr>
              <w:t>-</w:t>
            </w:r>
            <w:r w:rsidRPr="00F85FA9">
              <w:rPr>
                <w:rFonts w:cs="Calibri"/>
                <w:sz w:val="18"/>
                <w:szCs w:val="18"/>
                <w:lang w:eastAsia="en-AU"/>
              </w:rPr>
              <w:t>3%</w:t>
            </w:r>
          </w:p>
        </w:tc>
      </w:tr>
      <w:tr w:rsidR="009210B8" w:rsidRPr="0055027D" w14:paraId="2FA65A45"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30F9C9F" w14:textId="77777777" w:rsidR="009210B8" w:rsidRPr="00F85FA9" w:rsidRDefault="009210B8" w:rsidP="009210B8">
            <w:pPr>
              <w:spacing w:after="0" w:line="240" w:lineRule="auto"/>
              <w:rPr>
                <w:rFonts w:cs="Calibri"/>
                <w:b/>
                <w:sz w:val="18"/>
                <w:szCs w:val="18"/>
                <w:lang w:eastAsia="en-AU"/>
              </w:rPr>
            </w:pPr>
            <w:r>
              <w:rPr>
                <w:rFonts w:cs="Calibri"/>
                <w:b/>
                <w:sz w:val="18"/>
                <w:szCs w:val="18"/>
                <w:lang w:eastAsia="en-AU"/>
              </w:rPr>
              <w:t>VIC/TAS</w:t>
            </w:r>
          </w:p>
        </w:tc>
        <w:tc>
          <w:tcPr>
            <w:tcW w:w="1417" w:type="dxa"/>
            <w:tcBorders>
              <w:top w:val="nil"/>
              <w:left w:val="nil"/>
              <w:bottom w:val="single" w:sz="4" w:space="0" w:color="auto"/>
              <w:right w:val="single" w:sz="4" w:space="0" w:color="auto"/>
            </w:tcBorders>
            <w:shd w:val="clear" w:color="auto" w:fill="auto"/>
            <w:vAlign w:val="center"/>
            <w:hideMark/>
          </w:tcPr>
          <w:p w14:paraId="18F86777" w14:textId="77777777" w:rsidR="009210B8" w:rsidRPr="00F85FA9" w:rsidRDefault="009210B8" w:rsidP="009210B8">
            <w:pPr>
              <w:spacing w:after="0" w:line="240" w:lineRule="auto"/>
              <w:jc w:val="right"/>
              <w:rPr>
                <w:rFonts w:cs="Calibri"/>
                <w:sz w:val="18"/>
                <w:szCs w:val="18"/>
                <w:lang w:eastAsia="en-AU"/>
              </w:rPr>
            </w:pPr>
            <w:r w:rsidRPr="00F85FA9">
              <w:rPr>
                <w:rFonts w:cs="Calibri"/>
                <w:sz w:val="18"/>
                <w:szCs w:val="18"/>
                <w:lang w:eastAsia="en-AU"/>
              </w:rPr>
              <w:t>132,498</w:t>
            </w:r>
          </w:p>
        </w:tc>
        <w:tc>
          <w:tcPr>
            <w:tcW w:w="1562" w:type="dxa"/>
            <w:tcBorders>
              <w:top w:val="nil"/>
              <w:left w:val="nil"/>
              <w:bottom w:val="single" w:sz="4" w:space="0" w:color="auto"/>
              <w:right w:val="single" w:sz="4" w:space="0" w:color="auto"/>
            </w:tcBorders>
            <w:shd w:val="clear" w:color="auto" w:fill="auto"/>
            <w:vAlign w:val="center"/>
            <w:hideMark/>
          </w:tcPr>
          <w:p w14:paraId="0CA602B2" w14:textId="77777777" w:rsidR="009210B8" w:rsidRPr="00F85FA9" w:rsidRDefault="009210B8" w:rsidP="009210B8">
            <w:pPr>
              <w:spacing w:after="0" w:line="240" w:lineRule="auto"/>
              <w:jc w:val="right"/>
              <w:rPr>
                <w:rFonts w:cs="Calibri"/>
                <w:sz w:val="18"/>
                <w:szCs w:val="18"/>
                <w:lang w:eastAsia="en-AU"/>
              </w:rPr>
            </w:pPr>
            <w:r w:rsidRPr="00F85FA9">
              <w:rPr>
                <w:rFonts w:cs="Calibri"/>
                <w:sz w:val="18"/>
                <w:szCs w:val="18"/>
                <w:lang w:eastAsia="en-AU"/>
              </w:rPr>
              <w:t>135,021</w:t>
            </w:r>
          </w:p>
        </w:tc>
        <w:tc>
          <w:tcPr>
            <w:tcW w:w="990" w:type="dxa"/>
            <w:tcBorders>
              <w:top w:val="nil"/>
              <w:left w:val="nil"/>
              <w:bottom w:val="single" w:sz="4" w:space="0" w:color="auto"/>
              <w:right w:val="single" w:sz="4" w:space="0" w:color="auto"/>
            </w:tcBorders>
            <w:shd w:val="clear" w:color="auto" w:fill="auto"/>
            <w:vAlign w:val="center"/>
            <w:hideMark/>
          </w:tcPr>
          <w:p w14:paraId="57C21E8F" w14:textId="77777777" w:rsidR="009210B8" w:rsidRPr="00F85FA9" w:rsidRDefault="009210B8" w:rsidP="009210B8">
            <w:pPr>
              <w:spacing w:after="0" w:line="240" w:lineRule="auto"/>
              <w:jc w:val="right"/>
              <w:rPr>
                <w:rFonts w:cs="Calibri"/>
                <w:sz w:val="18"/>
                <w:szCs w:val="18"/>
                <w:lang w:eastAsia="en-AU"/>
              </w:rPr>
            </w:pPr>
            <w:r w:rsidRPr="00F85FA9">
              <w:rPr>
                <w:rFonts w:cs="Calibri"/>
                <w:sz w:val="18"/>
                <w:szCs w:val="18"/>
                <w:lang w:eastAsia="en-AU"/>
              </w:rPr>
              <w:t>0.98</w:t>
            </w:r>
          </w:p>
        </w:tc>
        <w:tc>
          <w:tcPr>
            <w:tcW w:w="1273" w:type="dxa"/>
            <w:tcBorders>
              <w:top w:val="nil"/>
              <w:left w:val="nil"/>
              <w:bottom w:val="single" w:sz="4" w:space="0" w:color="auto"/>
              <w:right w:val="single" w:sz="4" w:space="0" w:color="auto"/>
            </w:tcBorders>
            <w:shd w:val="clear" w:color="auto" w:fill="auto"/>
            <w:vAlign w:val="center"/>
            <w:hideMark/>
          </w:tcPr>
          <w:p w14:paraId="4D1B411F" w14:textId="77777777" w:rsidR="009210B8" w:rsidRPr="00F85FA9" w:rsidRDefault="009210B8" w:rsidP="009210B8">
            <w:pPr>
              <w:spacing w:after="0" w:line="240" w:lineRule="auto"/>
              <w:jc w:val="right"/>
              <w:rPr>
                <w:rFonts w:cs="Calibri"/>
                <w:sz w:val="18"/>
                <w:szCs w:val="18"/>
                <w:lang w:eastAsia="en-AU"/>
              </w:rPr>
            </w:pPr>
            <w:r w:rsidRPr="00F85FA9">
              <w:rPr>
                <w:rFonts w:cs="Calibri"/>
                <w:sz w:val="18"/>
                <w:szCs w:val="18"/>
                <w:lang w:eastAsia="en-AU"/>
              </w:rPr>
              <w:t>-2,523</w:t>
            </w:r>
          </w:p>
        </w:tc>
        <w:tc>
          <w:tcPr>
            <w:tcW w:w="1181" w:type="dxa"/>
            <w:tcBorders>
              <w:top w:val="nil"/>
              <w:left w:val="nil"/>
              <w:bottom w:val="single" w:sz="4" w:space="0" w:color="auto"/>
              <w:right w:val="single" w:sz="4" w:space="0" w:color="auto"/>
            </w:tcBorders>
            <w:shd w:val="clear" w:color="auto" w:fill="auto"/>
            <w:vAlign w:val="center"/>
            <w:hideMark/>
          </w:tcPr>
          <w:p w14:paraId="299E0EB1" w14:textId="77777777" w:rsidR="009210B8" w:rsidRPr="00F85FA9" w:rsidRDefault="009210B8" w:rsidP="009210B8">
            <w:pPr>
              <w:spacing w:after="0" w:line="240" w:lineRule="auto"/>
              <w:jc w:val="right"/>
              <w:rPr>
                <w:rFonts w:cs="Calibri"/>
                <w:sz w:val="18"/>
                <w:szCs w:val="18"/>
                <w:lang w:eastAsia="en-AU"/>
              </w:rPr>
            </w:pPr>
            <w:r>
              <w:rPr>
                <w:rFonts w:cs="Calibri"/>
                <w:sz w:val="18"/>
                <w:szCs w:val="18"/>
                <w:lang w:eastAsia="en-AU"/>
              </w:rPr>
              <w:t>-</w:t>
            </w:r>
            <w:r w:rsidRPr="00F85FA9">
              <w:rPr>
                <w:rFonts w:cs="Calibri"/>
                <w:sz w:val="18"/>
                <w:szCs w:val="18"/>
                <w:lang w:eastAsia="en-AU"/>
              </w:rPr>
              <w:t>2%</w:t>
            </w:r>
          </w:p>
        </w:tc>
      </w:tr>
      <w:tr w:rsidR="009210B8" w:rsidRPr="0055027D" w14:paraId="6445B30A"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BE1C4DD" w14:textId="77777777" w:rsidR="009210B8" w:rsidRPr="00F85FA9" w:rsidRDefault="009210B8" w:rsidP="009210B8">
            <w:pPr>
              <w:spacing w:after="0" w:line="240" w:lineRule="auto"/>
              <w:rPr>
                <w:rFonts w:cs="Calibri"/>
                <w:b/>
                <w:sz w:val="18"/>
                <w:szCs w:val="18"/>
                <w:lang w:eastAsia="en-AU"/>
              </w:rPr>
            </w:pPr>
            <w:r w:rsidRPr="00F85FA9">
              <w:rPr>
                <w:rFonts w:cs="Calibri"/>
                <w:b/>
                <w:sz w:val="18"/>
                <w:szCs w:val="18"/>
                <w:lang w:eastAsia="en-AU"/>
              </w:rPr>
              <w:t>QLD</w:t>
            </w:r>
          </w:p>
        </w:tc>
        <w:tc>
          <w:tcPr>
            <w:tcW w:w="1417" w:type="dxa"/>
            <w:tcBorders>
              <w:top w:val="nil"/>
              <w:left w:val="nil"/>
              <w:bottom w:val="single" w:sz="4" w:space="0" w:color="auto"/>
              <w:right w:val="single" w:sz="4" w:space="0" w:color="auto"/>
            </w:tcBorders>
            <w:shd w:val="clear" w:color="auto" w:fill="auto"/>
            <w:vAlign w:val="center"/>
            <w:hideMark/>
          </w:tcPr>
          <w:p w14:paraId="3F4A03D0" w14:textId="77777777" w:rsidR="009210B8" w:rsidRPr="00F85FA9" w:rsidRDefault="009210B8" w:rsidP="009210B8">
            <w:pPr>
              <w:spacing w:after="0" w:line="240" w:lineRule="auto"/>
              <w:jc w:val="right"/>
              <w:rPr>
                <w:rFonts w:cs="Calibri"/>
                <w:sz w:val="18"/>
                <w:szCs w:val="18"/>
                <w:lang w:eastAsia="en-AU"/>
              </w:rPr>
            </w:pPr>
            <w:r w:rsidRPr="00F85FA9">
              <w:rPr>
                <w:rFonts w:cs="Calibri"/>
                <w:sz w:val="18"/>
                <w:szCs w:val="18"/>
                <w:lang w:eastAsia="en-AU"/>
              </w:rPr>
              <w:t>105,964</w:t>
            </w:r>
          </w:p>
        </w:tc>
        <w:tc>
          <w:tcPr>
            <w:tcW w:w="1562" w:type="dxa"/>
            <w:tcBorders>
              <w:top w:val="nil"/>
              <w:left w:val="nil"/>
              <w:bottom w:val="single" w:sz="4" w:space="0" w:color="auto"/>
              <w:right w:val="single" w:sz="4" w:space="0" w:color="auto"/>
            </w:tcBorders>
            <w:shd w:val="clear" w:color="auto" w:fill="auto"/>
            <w:vAlign w:val="center"/>
            <w:hideMark/>
          </w:tcPr>
          <w:p w14:paraId="15811EE1" w14:textId="77777777" w:rsidR="009210B8" w:rsidRPr="00F85FA9" w:rsidRDefault="009210B8" w:rsidP="009210B8">
            <w:pPr>
              <w:spacing w:after="0" w:line="240" w:lineRule="auto"/>
              <w:jc w:val="right"/>
              <w:rPr>
                <w:rFonts w:cs="Calibri"/>
                <w:sz w:val="18"/>
                <w:szCs w:val="18"/>
                <w:lang w:eastAsia="en-AU"/>
              </w:rPr>
            </w:pPr>
            <w:r w:rsidRPr="00F85FA9">
              <w:rPr>
                <w:rFonts w:cs="Calibri"/>
                <w:sz w:val="18"/>
                <w:szCs w:val="18"/>
                <w:lang w:eastAsia="en-AU"/>
              </w:rPr>
              <w:t>112,760</w:t>
            </w:r>
          </w:p>
        </w:tc>
        <w:tc>
          <w:tcPr>
            <w:tcW w:w="990" w:type="dxa"/>
            <w:tcBorders>
              <w:top w:val="nil"/>
              <w:left w:val="nil"/>
              <w:bottom w:val="single" w:sz="4" w:space="0" w:color="auto"/>
              <w:right w:val="single" w:sz="4" w:space="0" w:color="auto"/>
            </w:tcBorders>
            <w:shd w:val="clear" w:color="auto" w:fill="auto"/>
            <w:vAlign w:val="center"/>
            <w:hideMark/>
          </w:tcPr>
          <w:p w14:paraId="158A48D3" w14:textId="77777777" w:rsidR="009210B8" w:rsidRPr="00F85FA9" w:rsidRDefault="009210B8" w:rsidP="009210B8">
            <w:pPr>
              <w:spacing w:after="0" w:line="240" w:lineRule="auto"/>
              <w:jc w:val="right"/>
              <w:rPr>
                <w:rFonts w:cs="Calibri"/>
                <w:sz w:val="18"/>
                <w:szCs w:val="18"/>
                <w:lang w:eastAsia="en-AU"/>
              </w:rPr>
            </w:pPr>
            <w:r w:rsidRPr="00F85FA9">
              <w:rPr>
                <w:rFonts w:cs="Calibri"/>
                <w:sz w:val="18"/>
                <w:szCs w:val="18"/>
                <w:lang w:eastAsia="en-AU"/>
              </w:rPr>
              <w:t>0.94</w:t>
            </w:r>
          </w:p>
        </w:tc>
        <w:tc>
          <w:tcPr>
            <w:tcW w:w="1273" w:type="dxa"/>
            <w:tcBorders>
              <w:top w:val="nil"/>
              <w:left w:val="nil"/>
              <w:bottom w:val="single" w:sz="4" w:space="0" w:color="auto"/>
              <w:right w:val="single" w:sz="4" w:space="0" w:color="auto"/>
            </w:tcBorders>
            <w:shd w:val="clear" w:color="auto" w:fill="auto"/>
            <w:vAlign w:val="center"/>
            <w:hideMark/>
          </w:tcPr>
          <w:p w14:paraId="75188B22" w14:textId="77777777" w:rsidR="009210B8" w:rsidRPr="00F85FA9" w:rsidRDefault="009210B8" w:rsidP="009210B8">
            <w:pPr>
              <w:spacing w:after="0" w:line="240" w:lineRule="auto"/>
              <w:jc w:val="right"/>
              <w:rPr>
                <w:rFonts w:cs="Calibri"/>
                <w:sz w:val="18"/>
                <w:szCs w:val="18"/>
                <w:lang w:eastAsia="en-AU"/>
              </w:rPr>
            </w:pPr>
            <w:r w:rsidRPr="00F85FA9">
              <w:rPr>
                <w:rFonts w:cs="Calibri"/>
                <w:sz w:val="18"/>
                <w:szCs w:val="18"/>
                <w:lang w:eastAsia="en-AU"/>
              </w:rPr>
              <w:t>-6,796</w:t>
            </w:r>
          </w:p>
        </w:tc>
        <w:tc>
          <w:tcPr>
            <w:tcW w:w="1181" w:type="dxa"/>
            <w:tcBorders>
              <w:top w:val="nil"/>
              <w:left w:val="nil"/>
              <w:bottom w:val="single" w:sz="4" w:space="0" w:color="auto"/>
              <w:right w:val="single" w:sz="4" w:space="0" w:color="auto"/>
            </w:tcBorders>
            <w:shd w:val="clear" w:color="auto" w:fill="auto"/>
            <w:vAlign w:val="center"/>
            <w:hideMark/>
          </w:tcPr>
          <w:p w14:paraId="499E984E" w14:textId="77777777" w:rsidR="009210B8" w:rsidRPr="00F85FA9" w:rsidRDefault="009210B8" w:rsidP="009210B8">
            <w:pPr>
              <w:spacing w:after="0" w:line="240" w:lineRule="auto"/>
              <w:jc w:val="right"/>
              <w:rPr>
                <w:rFonts w:cs="Calibri"/>
                <w:sz w:val="18"/>
                <w:szCs w:val="18"/>
                <w:lang w:eastAsia="en-AU"/>
              </w:rPr>
            </w:pPr>
            <w:r>
              <w:rPr>
                <w:rFonts w:cs="Calibri"/>
                <w:sz w:val="18"/>
                <w:szCs w:val="18"/>
                <w:lang w:eastAsia="en-AU"/>
              </w:rPr>
              <w:t>-</w:t>
            </w:r>
            <w:r w:rsidRPr="00F85FA9">
              <w:rPr>
                <w:rFonts w:cs="Calibri"/>
                <w:sz w:val="18"/>
                <w:szCs w:val="18"/>
                <w:lang w:eastAsia="en-AU"/>
              </w:rPr>
              <w:t>6%</w:t>
            </w:r>
          </w:p>
        </w:tc>
      </w:tr>
      <w:tr w:rsidR="009210B8" w:rsidRPr="0055027D" w14:paraId="2BB68BA2"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0F26424" w14:textId="77777777" w:rsidR="009210B8" w:rsidRPr="00F85FA9" w:rsidRDefault="009210B8" w:rsidP="009210B8">
            <w:pPr>
              <w:spacing w:after="0" w:line="240" w:lineRule="auto"/>
              <w:rPr>
                <w:rFonts w:cs="Calibri"/>
                <w:b/>
                <w:sz w:val="18"/>
                <w:szCs w:val="18"/>
                <w:lang w:eastAsia="en-AU"/>
              </w:rPr>
            </w:pPr>
            <w:r>
              <w:rPr>
                <w:rFonts w:cs="Calibri"/>
                <w:b/>
                <w:sz w:val="18"/>
                <w:szCs w:val="18"/>
                <w:lang w:eastAsia="en-AU"/>
              </w:rPr>
              <w:t>SA/NT</w:t>
            </w:r>
          </w:p>
        </w:tc>
        <w:tc>
          <w:tcPr>
            <w:tcW w:w="1417" w:type="dxa"/>
            <w:tcBorders>
              <w:top w:val="nil"/>
              <w:left w:val="nil"/>
              <w:bottom w:val="single" w:sz="4" w:space="0" w:color="auto"/>
              <w:right w:val="single" w:sz="4" w:space="0" w:color="auto"/>
            </w:tcBorders>
            <w:shd w:val="clear" w:color="auto" w:fill="auto"/>
            <w:vAlign w:val="center"/>
            <w:hideMark/>
          </w:tcPr>
          <w:p w14:paraId="4DF8AD4B" w14:textId="77777777" w:rsidR="009210B8" w:rsidRPr="00F85FA9" w:rsidRDefault="009210B8" w:rsidP="009210B8">
            <w:pPr>
              <w:spacing w:after="0" w:line="240" w:lineRule="auto"/>
              <w:jc w:val="right"/>
              <w:rPr>
                <w:rFonts w:cs="Calibri"/>
                <w:sz w:val="18"/>
                <w:szCs w:val="18"/>
                <w:lang w:eastAsia="en-AU"/>
              </w:rPr>
            </w:pPr>
            <w:r w:rsidRPr="00F85FA9">
              <w:rPr>
                <w:rFonts w:cs="Calibri"/>
                <w:sz w:val="18"/>
                <w:szCs w:val="18"/>
                <w:lang w:eastAsia="en-AU"/>
              </w:rPr>
              <w:t>37,956</w:t>
            </w:r>
          </w:p>
        </w:tc>
        <w:tc>
          <w:tcPr>
            <w:tcW w:w="1562" w:type="dxa"/>
            <w:tcBorders>
              <w:top w:val="nil"/>
              <w:left w:val="nil"/>
              <w:bottom w:val="single" w:sz="4" w:space="0" w:color="auto"/>
              <w:right w:val="single" w:sz="4" w:space="0" w:color="auto"/>
            </w:tcBorders>
            <w:shd w:val="clear" w:color="auto" w:fill="auto"/>
            <w:vAlign w:val="center"/>
            <w:hideMark/>
          </w:tcPr>
          <w:p w14:paraId="581CE585" w14:textId="77777777" w:rsidR="009210B8" w:rsidRPr="00F85FA9" w:rsidRDefault="009210B8" w:rsidP="009210B8">
            <w:pPr>
              <w:spacing w:after="0" w:line="240" w:lineRule="auto"/>
              <w:jc w:val="right"/>
              <w:rPr>
                <w:rFonts w:cs="Calibri"/>
                <w:sz w:val="18"/>
                <w:szCs w:val="18"/>
                <w:lang w:eastAsia="en-AU"/>
              </w:rPr>
            </w:pPr>
            <w:r w:rsidRPr="00F85FA9">
              <w:rPr>
                <w:rFonts w:cs="Calibri"/>
                <w:sz w:val="18"/>
                <w:szCs w:val="18"/>
                <w:lang w:eastAsia="en-AU"/>
              </w:rPr>
              <w:t>44,251</w:t>
            </w:r>
          </w:p>
        </w:tc>
        <w:tc>
          <w:tcPr>
            <w:tcW w:w="990" w:type="dxa"/>
            <w:tcBorders>
              <w:top w:val="nil"/>
              <w:left w:val="nil"/>
              <w:bottom w:val="single" w:sz="4" w:space="0" w:color="auto"/>
              <w:right w:val="single" w:sz="4" w:space="0" w:color="auto"/>
            </w:tcBorders>
            <w:shd w:val="clear" w:color="auto" w:fill="auto"/>
            <w:vAlign w:val="center"/>
            <w:hideMark/>
          </w:tcPr>
          <w:p w14:paraId="679DFFE6" w14:textId="77777777" w:rsidR="009210B8" w:rsidRPr="00F85FA9" w:rsidRDefault="009210B8" w:rsidP="009210B8">
            <w:pPr>
              <w:spacing w:after="0" w:line="240" w:lineRule="auto"/>
              <w:jc w:val="right"/>
              <w:rPr>
                <w:rFonts w:cs="Calibri"/>
                <w:sz w:val="18"/>
                <w:szCs w:val="18"/>
                <w:lang w:eastAsia="en-AU"/>
              </w:rPr>
            </w:pPr>
            <w:r w:rsidRPr="00F85FA9">
              <w:rPr>
                <w:rFonts w:cs="Calibri"/>
                <w:sz w:val="18"/>
                <w:szCs w:val="18"/>
                <w:lang w:eastAsia="en-AU"/>
              </w:rPr>
              <w:t>0.8</w:t>
            </w:r>
            <w:r>
              <w:rPr>
                <w:rFonts w:cs="Calibri"/>
                <w:sz w:val="18"/>
                <w:szCs w:val="18"/>
                <w:lang w:eastAsia="en-AU"/>
              </w:rPr>
              <w:t>6</w:t>
            </w:r>
          </w:p>
        </w:tc>
        <w:tc>
          <w:tcPr>
            <w:tcW w:w="1273" w:type="dxa"/>
            <w:tcBorders>
              <w:top w:val="nil"/>
              <w:left w:val="nil"/>
              <w:bottom w:val="single" w:sz="4" w:space="0" w:color="auto"/>
              <w:right w:val="single" w:sz="4" w:space="0" w:color="auto"/>
            </w:tcBorders>
            <w:shd w:val="clear" w:color="auto" w:fill="auto"/>
            <w:vAlign w:val="center"/>
            <w:hideMark/>
          </w:tcPr>
          <w:p w14:paraId="336EF991" w14:textId="77777777" w:rsidR="009210B8" w:rsidRPr="00F85FA9" w:rsidRDefault="009210B8" w:rsidP="009210B8">
            <w:pPr>
              <w:spacing w:after="0" w:line="240" w:lineRule="auto"/>
              <w:jc w:val="right"/>
              <w:rPr>
                <w:rFonts w:cs="Calibri"/>
                <w:sz w:val="18"/>
                <w:szCs w:val="18"/>
                <w:lang w:eastAsia="en-AU"/>
              </w:rPr>
            </w:pPr>
            <w:r w:rsidRPr="00F85FA9">
              <w:rPr>
                <w:rFonts w:cs="Calibri"/>
                <w:sz w:val="18"/>
                <w:szCs w:val="18"/>
                <w:lang w:eastAsia="en-AU"/>
              </w:rPr>
              <w:t>-6,295</w:t>
            </w:r>
          </w:p>
        </w:tc>
        <w:tc>
          <w:tcPr>
            <w:tcW w:w="1181" w:type="dxa"/>
            <w:tcBorders>
              <w:top w:val="nil"/>
              <w:left w:val="nil"/>
              <w:bottom w:val="single" w:sz="4" w:space="0" w:color="auto"/>
              <w:right w:val="single" w:sz="4" w:space="0" w:color="auto"/>
            </w:tcBorders>
            <w:shd w:val="clear" w:color="auto" w:fill="auto"/>
            <w:vAlign w:val="center"/>
            <w:hideMark/>
          </w:tcPr>
          <w:p w14:paraId="4368EF71" w14:textId="77777777" w:rsidR="009210B8" w:rsidRPr="00F85FA9" w:rsidRDefault="009210B8" w:rsidP="009210B8">
            <w:pPr>
              <w:spacing w:after="0" w:line="240" w:lineRule="auto"/>
              <w:jc w:val="right"/>
              <w:rPr>
                <w:rFonts w:cs="Calibri"/>
                <w:sz w:val="18"/>
                <w:szCs w:val="18"/>
                <w:lang w:eastAsia="en-AU"/>
              </w:rPr>
            </w:pPr>
            <w:r>
              <w:rPr>
                <w:rFonts w:cs="Calibri"/>
                <w:sz w:val="18"/>
                <w:szCs w:val="18"/>
                <w:lang w:eastAsia="en-AU"/>
              </w:rPr>
              <w:t>-</w:t>
            </w:r>
            <w:r w:rsidRPr="00F85FA9">
              <w:rPr>
                <w:rFonts w:cs="Calibri"/>
                <w:sz w:val="18"/>
                <w:szCs w:val="18"/>
                <w:lang w:eastAsia="en-AU"/>
              </w:rPr>
              <w:t>14%</w:t>
            </w:r>
          </w:p>
        </w:tc>
      </w:tr>
      <w:tr w:rsidR="009210B8" w:rsidRPr="0055027D" w14:paraId="1FBF9EAB"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5178791" w14:textId="77777777" w:rsidR="009210B8" w:rsidRPr="00F85FA9" w:rsidRDefault="009210B8" w:rsidP="009210B8">
            <w:pPr>
              <w:spacing w:after="0" w:line="240" w:lineRule="auto"/>
              <w:rPr>
                <w:rFonts w:cs="Calibri"/>
                <w:b/>
                <w:sz w:val="18"/>
                <w:szCs w:val="18"/>
                <w:lang w:eastAsia="en-AU"/>
              </w:rPr>
            </w:pPr>
            <w:r w:rsidRPr="00F85FA9">
              <w:rPr>
                <w:rFonts w:cs="Calibri"/>
                <w:b/>
                <w:sz w:val="18"/>
                <w:szCs w:val="18"/>
                <w:lang w:eastAsia="en-AU"/>
              </w:rPr>
              <w:t>WA</w:t>
            </w:r>
          </w:p>
        </w:tc>
        <w:tc>
          <w:tcPr>
            <w:tcW w:w="1417" w:type="dxa"/>
            <w:tcBorders>
              <w:top w:val="nil"/>
              <w:left w:val="nil"/>
              <w:bottom w:val="single" w:sz="4" w:space="0" w:color="auto"/>
              <w:right w:val="single" w:sz="4" w:space="0" w:color="auto"/>
            </w:tcBorders>
            <w:shd w:val="clear" w:color="auto" w:fill="auto"/>
            <w:vAlign w:val="center"/>
            <w:hideMark/>
          </w:tcPr>
          <w:p w14:paraId="42B8849E" w14:textId="77777777" w:rsidR="009210B8" w:rsidRPr="00F85FA9" w:rsidRDefault="009210B8" w:rsidP="009210B8">
            <w:pPr>
              <w:spacing w:after="0" w:line="240" w:lineRule="auto"/>
              <w:jc w:val="right"/>
              <w:rPr>
                <w:rFonts w:cs="Calibri"/>
                <w:sz w:val="18"/>
                <w:szCs w:val="18"/>
                <w:lang w:eastAsia="en-AU"/>
              </w:rPr>
            </w:pPr>
            <w:r w:rsidRPr="00F85FA9">
              <w:rPr>
                <w:rFonts w:cs="Calibri"/>
                <w:sz w:val="18"/>
                <w:szCs w:val="18"/>
                <w:lang w:eastAsia="en-AU"/>
              </w:rPr>
              <w:t>42,161</w:t>
            </w:r>
          </w:p>
        </w:tc>
        <w:tc>
          <w:tcPr>
            <w:tcW w:w="1562" w:type="dxa"/>
            <w:tcBorders>
              <w:top w:val="nil"/>
              <w:left w:val="nil"/>
              <w:bottom w:val="single" w:sz="4" w:space="0" w:color="auto"/>
              <w:right w:val="single" w:sz="4" w:space="0" w:color="auto"/>
            </w:tcBorders>
            <w:shd w:val="clear" w:color="auto" w:fill="auto"/>
            <w:vAlign w:val="center"/>
            <w:hideMark/>
          </w:tcPr>
          <w:p w14:paraId="3BC46B0E" w14:textId="77777777" w:rsidR="009210B8" w:rsidRPr="00F85FA9" w:rsidRDefault="009210B8" w:rsidP="009210B8">
            <w:pPr>
              <w:spacing w:after="0" w:line="240" w:lineRule="auto"/>
              <w:jc w:val="right"/>
              <w:rPr>
                <w:rFonts w:cs="Calibri"/>
                <w:sz w:val="18"/>
                <w:szCs w:val="18"/>
                <w:lang w:eastAsia="en-AU"/>
              </w:rPr>
            </w:pPr>
            <w:r w:rsidRPr="00F85FA9">
              <w:rPr>
                <w:rFonts w:cs="Calibri"/>
                <w:sz w:val="18"/>
                <w:szCs w:val="18"/>
                <w:lang w:eastAsia="en-AU"/>
              </w:rPr>
              <w:t>40,531</w:t>
            </w:r>
          </w:p>
        </w:tc>
        <w:tc>
          <w:tcPr>
            <w:tcW w:w="990" w:type="dxa"/>
            <w:tcBorders>
              <w:top w:val="nil"/>
              <w:left w:val="nil"/>
              <w:bottom w:val="single" w:sz="4" w:space="0" w:color="auto"/>
              <w:right w:val="single" w:sz="4" w:space="0" w:color="auto"/>
            </w:tcBorders>
            <w:shd w:val="clear" w:color="auto" w:fill="auto"/>
            <w:vAlign w:val="center"/>
            <w:hideMark/>
          </w:tcPr>
          <w:p w14:paraId="794BC0C3" w14:textId="77777777" w:rsidR="009210B8" w:rsidRPr="00F85FA9" w:rsidRDefault="009210B8" w:rsidP="009210B8">
            <w:pPr>
              <w:spacing w:after="0" w:line="240" w:lineRule="auto"/>
              <w:jc w:val="right"/>
              <w:rPr>
                <w:rFonts w:cs="Calibri"/>
                <w:sz w:val="18"/>
                <w:szCs w:val="18"/>
                <w:lang w:eastAsia="en-AU"/>
              </w:rPr>
            </w:pPr>
            <w:r w:rsidRPr="00F85FA9">
              <w:rPr>
                <w:rFonts w:cs="Calibri"/>
                <w:sz w:val="18"/>
                <w:szCs w:val="18"/>
                <w:lang w:eastAsia="en-AU"/>
              </w:rPr>
              <w:t>1.04</w:t>
            </w:r>
          </w:p>
        </w:tc>
        <w:tc>
          <w:tcPr>
            <w:tcW w:w="1273" w:type="dxa"/>
            <w:tcBorders>
              <w:top w:val="nil"/>
              <w:left w:val="nil"/>
              <w:bottom w:val="single" w:sz="4" w:space="0" w:color="auto"/>
              <w:right w:val="single" w:sz="4" w:space="0" w:color="auto"/>
            </w:tcBorders>
            <w:shd w:val="clear" w:color="auto" w:fill="auto"/>
            <w:vAlign w:val="center"/>
            <w:hideMark/>
          </w:tcPr>
          <w:p w14:paraId="6A2F0062" w14:textId="77777777" w:rsidR="009210B8" w:rsidRPr="00F85FA9" w:rsidRDefault="009210B8" w:rsidP="009210B8">
            <w:pPr>
              <w:spacing w:after="0" w:line="240" w:lineRule="auto"/>
              <w:jc w:val="right"/>
              <w:rPr>
                <w:rFonts w:cs="Calibri"/>
                <w:sz w:val="18"/>
                <w:szCs w:val="18"/>
                <w:lang w:eastAsia="en-AU"/>
              </w:rPr>
            </w:pPr>
            <w:r w:rsidRPr="00F85FA9">
              <w:rPr>
                <w:rFonts w:cs="Calibri"/>
                <w:sz w:val="18"/>
                <w:szCs w:val="18"/>
                <w:lang w:eastAsia="en-AU"/>
              </w:rPr>
              <w:t>1,630</w:t>
            </w:r>
          </w:p>
        </w:tc>
        <w:tc>
          <w:tcPr>
            <w:tcW w:w="1181" w:type="dxa"/>
            <w:tcBorders>
              <w:top w:val="nil"/>
              <w:left w:val="nil"/>
              <w:bottom w:val="single" w:sz="4" w:space="0" w:color="auto"/>
              <w:right w:val="single" w:sz="4" w:space="0" w:color="auto"/>
            </w:tcBorders>
            <w:shd w:val="clear" w:color="auto" w:fill="auto"/>
            <w:vAlign w:val="center"/>
            <w:hideMark/>
          </w:tcPr>
          <w:p w14:paraId="282EA012" w14:textId="77777777" w:rsidR="009210B8" w:rsidRPr="00F85FA9" w:rsidRDefault="009210B8" w:rsidP="009210B8">
            <w:pPr>
              <w:spacing w:after="0" w:line="240" w:lineRule="auto"/>
              <w:jc w:val="right"/>
              <w:rPr>
                <w:rFonts w:cs="Calibri"/>
                <w:sz w:val="18"/>
                <w:szCs w:val="18"/>
                <w:lang w:eastAsia="en-AU"/>
              </w:rPr>
            </w:pPr>
            <w:r w:rsidRPr="00F85FA9">
              <w:rPr>
                <w:rFonts w:cs="Calibri"/>
                <w:sz w:val="18"/>
                <w:szCs w:val="18"/>
                <w:lang w:eastAsia="en-AU"/>
              </w:rPr>
              <w:t>4%</w:t>
            </w:r>
          </w:p>
        </w:tc>
      </w:tr>
      <w:tr w:rsidR="009210B8" w:rsidRPr="0055027D" w14:paraId="1DB95D88"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000000" w:fill="E7E6E6"/>
            <w:vAlign w:val="center"/>
            <w:hideMark/>
          </w:tcPr>
          <w:p w14:paraId="1536CE94" w14:textId="77777777" w:rsidR="009210B8" w:rsidRPr="00F85FA9" w:rsidRDefault="009210B8" w:rsidP="009210B8">
            <w:pPr>
              <w:spacing w:after="0" w:line="240" w:lineRule="auto"/>
              <w:rPr>
                <w:rFonts w:cs="Calibri"/>
                <w:b/>
                <w:sz w:val="18"/>
                <w:szCs w:val="18"/>
                <w:lang w:eastAsia="en-AU"/>
              </w:rPr>
            </w:pPr>
            <w:r w:rsidRPr="00F85FA9">
              <w:rPr>
                <w:rFonts w:cs="Calibri"/>
                <w:b/>
                <w:sz w:val="18"/>
                <w:szCs w:val="18"/>
                <w:lang w:eastAsia="en-AU"/>
              </w:rPr>
              <w:t>Total</w:t>
            </w:r>
          </w:p>
        </w:tc>
        <w:tc>
          <w:tcPr>
            <w:tcW w:w="1417" w:type="dxa"/>
            <w:tcBorders>
              <w:top w:val="nil"/>
              <w:left w:val="nil"/>
              <w:bottom w:val="single" w:sz="4" w:space="0" w:color="auto"/>
              <w:right w:val="single" w:sz="4" w:space="0" w:color="auto"/>
            </w:tcBorders>
            <w:shd w:val="clear" w:color="000000" w:fill="E7E6E6"/>
            <w:vAlign w:val="center"/>
            <w:hideMark/>
          </w:tcPr>
          <w:p w14:paraId="729FD00A" w14:textId="77777777" w:rsidR="009210B8" w:rsidRPr="00F85FA9" w:rsidRDefault="009210B8" w:rsidP="009210B8">
            <w:pPr>
              <w:spacing w:after="0" w:line="240" w:lineRule="auto"/>
              <w:jc w:val="right"/>
              <w:rPr>
                <w:rFonts w:cs="Calibri"/>
                <w:b/>
                <w:sz w:val="18"/>
                <w:szCs w:val="18"/>
                <w:lang w:eastAsia="en-AU"/>
              </w:rPr>
            </w:pPr>
            <w:r w:rsidRPr="00F85FA9">
              <w:rPr>
                <w:rFonts w:cs="Calibri"/>
                <w:b/>
                <w:sz w:val="18"/>
                <w:szCs w:val="18"/>
                <w:lang w:eastAsia="en-AU"/>
              </w:rPr>
              <w:t>520,613</w:t>
            </w:r>
          </w:p>
        </w:tc>
        <w:tc>
          <w:tcPr>
            <w:tcW w:w="1562" w:type="dxa"/>
            <w:tcBorders>
              <w:top w:val="nil"/>
              <w:left w:val="nil"/>
              <w:bottom w:val="single" w:sz="4" w:space="0" w:color="auto"/>
              <w:right w:val="single" w:sz="4" w:space="0" w:color="auto"/>
            </w:tcBorders>
            <w:shd w:val="clear" w:color="000000" w:fill="E7E6E6"/>
            <w:vAlign w:val="center"/>
            <w:hideMark/>
          </w:tcPr>
          <w:p w14:paraId="77FD0C63" w14:textId="77777777" w:rsidR="009210B8" w:rsidRPr="00F85FA9" w:rsidRDefault="009210B8" w:rsidP="009210B8">
            <w:pPr>
              <w:spacing w:after="0" w:line="240" w:lineRule="auto"/>
              <w:jc w:val="right"/>
              <w:rPr>
                <w:rFonts w:cs="Calibri"/>
                <w:b/>
                <w:sz w:val="18"/>
                <w:szCs w:val="18"/>
                <w:lang w:eastAsia="en-AU"/>
              </w:rPr>
            </w:pPr>
            <w:r w:rsidRPr="00F85FA9">
              <w:rPr>
                <w:rFonts w:cs="Calibri"/>
                <w:b/>
                <w:sz w:val="18"/>
                <w:szCs w:val="18"/>
                <w:lang w:eastAsia="en-AU"/>
              </w:rPr>
              <w:t>541,285</w:t>
            </w:r>
          </w:p>
        </w:tc>
        <w:tc>
          <w:tcPr>
            <w:tcW w:w="990" w:type="dxa"/>
            <w:tcBorders>
              <w:top w:val="nil"/>
              <w:left w:val="nil"/>
              <w:bottom w:val="single" w:sz="4" w:space="0" w:color="auto"/>
              <w:right w:val="single" w:sz="4" w:space="0" w:color="auto"/>
            </w:tcBorders>
            <w:shd w:val="clear" w:color="000000" w:fill="E7E6E6"/>
            <w:vAlign w:val="center"/>
            <w:hideMark/>
          </w:tcPr>
          <w:p w14:paraId="41D11C70" w14:textId="77777777" w:rsidR="009210B8" w:rsidRPr="00F85FA9" w:rsidRDefault="009210B8" w:rsidP="009210B8">
            <w:pPr>
              <w:spacing w:after="0" w:line="240" w:lineRule="auto"/>
              <w:jc w:val="right"/>
              <w:rPr>
                <w:rFonts w:cs="Calibri"/>
                <w:b/>
                <w:sz w:val="18"/>
                <w:szCs w:val="18"/>
                <w:lang w:eastAsia="en-AU"/>
              </w:rPr>
            </w:pPr>
            <w:r w:rsidRPr="00F85FA9">
              <w:rPr>
                <w:rFonts w:cs="Calibri"/>
                <w:b/>
                <w:sz w:val="18"/>
                <w:szCs w:val="18"/>
                <w:lang w:eastAsia="en-AU"/>
              </w:rPr>
              <w:t>0.96</w:t>
            </w:r>
          </w:p>
        </w:tc>
        <w:tc>
          <w:tcPr>
            <w:tcW w:w="1273" w:type="dxa"/>
            <w:tcBorders>
              <w:top w:val="nil"/>
              <w:left w:val="nil"/>
              <w:bottom w:val="single" w:sz="4" w:space="0" w:color="auto"/>
              <w:right w:val="single" w:sz="4" w:space="0" w:color="auto"/>
            </w:tcBorders>
            <w:shd w:val="clear" w:color="000000" w:fill="E7E6E6"/>
            <w:vAlign w:val="center"/>
            <w:hideMark/>
          </w:tcPr>
          <w:p w14:paraId="0E3CD2E0" w14:textId="77777777" w:rsidR="009210B8" w:rsidRPr="00F85FA9" w:rsidRDefault="009210B8" w:rsidP="009210B8">
            <w:pPr>
              <w:spacing w:after="0" w:line="240" w:lineRule="auto"/>
              <w:jc w:val="right"/>
              <w:rPr>
                <w:rFonts w:cs="Calibri"/>
                <w:b/>
                <w:sz w:val="18"/>
                <w:szCs w:val="18"/>
                <w:lang w:eastAsia="en-AU"/>
              </w:rPr>
            </w:pPr>
            <w:r w:rsidRPr="00F85FA9">
              <w:rPr>
                <w:rFonts w:cs="Calibri"/>
                <w:b/>
                <w:sz w:val="18"/>
                <w:szCs w:val="18"/>
                <w:lang w:eastAsia="en-AU"/>
              </w:rPr>
              <w:t>-20,672</w:t>
            </w:r>
          </w:p>
        </w:tc>
        <w:tc>
          <w:tcPr>
            <w:tcW w:w="1181" w:type="dxa"/>
            <w:tcBorders>
              <w:top w:val="nil"/>
              <w:left w:val="nil"/>
              <w:bottom w:val="single" w:sz="4" w:space="0" w:color="auto"/>
              <w:right w:val="single" w:sz="4" w:space="0" w:color="auto"/>
            </w:tcBorders>
            <w:shd w:val="clear" w:color="000000" w:fill="E7E6E6"/>
            <w:vAlign w:val="center"/>
            <w:hideMark/>
          </w:tcPr>
          <w:p w14:paraId="4E729B37" w14:textId="77777777" w:rsidR="009210B8" w:rsidRPr="00F85FA9" w:rsidRDefault="009210B8" w:rsidP="009210B8">
            <w:pPr>
              <w:spacing w:after="0" w:line="240" w:lineRule="auto"/>
              <w:jc w:val="right"/>
              <w:rPr>
                <w:rFonts w:cs="Calibri"/>
                <w:b/>
                <w:sz w:val="18"/>
                <w:szCs w:val="18"/>
                <w:lang w:eastAsia="en-AU"/>
              </w:rPr>
            </w:pPr>
            <w:r>
              <w:rPr>
                <w:rFonts w:cs="Calibri"/>
                <w:b/>
                <w:sz w:val="18"/>
                <w:szCs w:val="18"/>
                <w:lang w:eastAsia="en-AU"/>
              </w:rPr>
              <w:t>-</w:t>
            </w:r>
            <w:r w:rsidRPr="00F85FA9">
              <w:rPr>
                <w:rFonts w:cs="Calibri"/>
                <w:b/>
                <w:sz w:val="18"/>
                <w:szCs w:val="18"/>
                <w:lang w:eastAsia="en-AU"/>
              </w:rPr>
              <w:t>4%</w:t>
            </w:r>
          </w:p>
        </w:tc>
      </w:tr>
      <w:tr w:rsidR="009210B8" w:rsidRPr="0055027D" w14:paraId="73E20750" w14:textId="77777777" w:rsidTr="009210B8">
        <w:trPr>
          <w:trHeight w:val="290"/>
        </w:trPr>
        <w:tc>
          <w:tcPr>
            <w:tcW w:w="7850" w:type="dxa"/>
            <w:gridSpan w:val="8"/>
            <w:tcBorders>
              <w:top w:val="single" w:sz="4" w:space="0" w:color="auto"/>
              <w:left w:val="single" w:sz="4" w:space="0" w:color="auto"/>
              <w:bottom w:val="single" w:sz="4" w:space="0" w:color="auto"/>
              <w:right w:val="single" w:sz="4" w:space="0" w:color="auto"/>
            </w:tcBorders>
            <w:shd w:val="clear" w:color="000000" w:fill="A6A6A6"/>
            <w:vAlign w:val="center"/>
            <w:hideMark/>
          </w:tcPr>
          <w:p w14:paraId="6B45E7FF"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Colorectal cancer</w:t>
            </w:r>
            <w:r>
              <w:rPr>
                <w:rFonts w:cs="Calibri"/>
                <w:b/>
                <w:sz w:val="18"/>
                <w:szCs w:val="18"/>
                <w:lang w:eastAsia="en-AU"/>
              </w:rPr>
              <w:t>s</w:t>
            </w:r>
            <w:r>
              <w:rPr>
                <w:rStyle w:val="FootnoteReference"/>
                <w:rFonts w:cs="Calibri"/>
                <w:b/>
                <w:sz w:val="18"/>
                <w:szCs w:val="18"/>
                <w:lang w:eastAsia="en-AU"/>
              </w:rPr>
              <w:footnoteReference w:id="34"/>
            </w:r>
          </w:p>
        </w:tc>
      </w:tr>
      <w:tr w:rsidR="009210B8" w:rsidRPr="0055027D" w14:paraId="763C3152"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13F74A2" w14:textId="77777777" w:rsidR="009210B8" w:rsidRPr="007E01FD" w:rsidRDefault="009210B8" w:rsidP="009210B8">
            <w:pPr>
              <w:spacing w:after="0" w:line="240" w:lineRule="auto"/>
              <w:rPr>
                <w:rFonts w:cs="Calibri"/>
                <w:b/>
                <w:sz w:val="18"/>
                <w:szCs w:val="18"/>
                <w:lang w:eastAsia="en-AU"/>
              </w:rPr>
            </w:pPr>
            <w:r>
              <w:rPr>
                <w:rFonts w:cs="Calibri"/>
                <w:b/>
                <w:sz w:val="18"/>
                <w:szCs w:val="18"/>
                <w:lang w:eastAsia="en-AU"/>
              </w:rPr>
              <w:t>NSW/ACT</w:t>
            </w:r>
          </w:p>
        </w:tc>
        <w:tc>
          <w:tcPr>
            <w:tcW w:w="1417" w:type="dxa"/>
            <w:tcBorders>
              <w:top w:val="nil"/>
              <w:left w:val="nil"/>
              <w:bottom w:val="single" w:sz="4" w:space="0" w:color="auto"/>
              <w:right w:val="single" w:sz="4" w:space="0" w:color="auto"/>
            </w:tcBorders>
            <w:shd w:val="clear" w:color="auto" w:fill="auto"/>
            <w:vAlign w:val="center"/>
            <w:hideMark/>
          </w:tcPr>
          <w:p w14:paraId="3A6A4C55"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206,093</w:t>
            </w:r>
          </w:p>
        </w:tc>
        <w:tc>
          <w:tcPr>
            <w:tcW w:w="1562" w:type="dxa"/>
            <w:tcBorders>
              <w:top w:val="nil"/>
              <w:left w:val="nil"/>
              <w:bottom w:val="single" w:sz="4" w:space="0" w:color="auto"/>
              <w:right w:val="single" w:sz="4" w:space="0" w:color="auto"/>
            </w:tcBorders>
            <w:shd w:val="clear" w:color="auto" w:fill="auto"/>
            <w:vAlign w:val="center"/>
            <w:hideMark/>
          </w:tcPr>
          <w:p w14:paraId="1AFF3EC9"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232,948</w:t>
            </w:r>
          </w:p>
        </w:tc>
        <w:tc>
          <w:tcPr>
            <w:tcW w:w="990" w:type="dxa"/>
            <w:tcBorders>
              <w:top w:val="nil"/>
              <w:left w:val="nil"/>
              <w:bottom w:val="single" w:sz="4" w:space="0" w:color="auto"/>
              <w:right w:val="single" w:sz="4" w:space="0" w:color="auto"/>
            </w:tcBorders>
            <w:shd w:val="clear" w:color="auto" w:fill="auto"/>
            <w:vAlign w:val="center"/>
            <w:hideMark/>
          </w:tcPr>
          <w:p w14:paraId="4D1859B2"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0.88</w:t>
            </w:r>
          </w:p>
        </w:tc>
        <w:tc>
          <w:tcPr>
            <w:tcW w:w="1273" w:type="dxa"/>
            <w:tcBorders>
              <w:top w:val="nil"/>
              <w:left w:val="nil"/>
              <w:bottom w:val="single" w:sz="4" w:space="0" w:color="auto"/>
              <w:right w:val="single" w:sz="4" w:space="0" w:color="auto"/>
            </w:tcBorders>
            <w:shd w:val="clear" w:color="auto" w:fill="auto"/>
            <w:vAlign w:val="center"/>
            <w:hideMark/>
          </w:tcPr>
          <w:p w14:paraId="3A35CFBD"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-26,855</w:t>
            </w:r>
          </w:p>
        </w:tc>
        <w:tc>
          <w:tcPr>
            <w:tcW w:w="1181" w:type="dxa"/>
            <w:tcBorders>
              <w:top w:val="nil"/>
              <w:left w:val="nil"/>
              <w:bottom w:val="single" w:sz="4" w:space="0" w:color="auto"/>
              <w:right w:val="single" w:sz="4" w:space="0" w:color="auto"/>
            </w:tcBorders>
            <w:shd w:val="clear" w:color="auto" w:fill="auto"/>
            <w:vAlign w:val="center"/>
            <w:hideMark/>
          </w:tcPr>
          <w:p w14:paraId="3D6F69D7"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12%</w:t>
            </w:r>
          </w:p>
        </w:tc>
      </w:tr>
      <w:tr w:rsidR="009210B8" w:rsidRPr="0055027D" w14:paraId="2E44CE4D"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E3D1D48" w14:textId="77777777" w:rsidR="009210B8" w:rsidRPr="007E01FD" w:rsidRDefault="009210B8" w:rsidP="009210B8">
            <w:pPr>
              <w:spacing w:after="0" w:line="240" w:lineRule="auto"/>
              <w:rPr>
                <w:rFonts w:cs="Calibri"/>
                <w:b/>
                <w:sz w:val="18"/>
                <w:szCs w:val="18"/>
                <w:lang w:eastAsia="en-AU"/>
              </w:rPr>
            </w:pPr>
            <w:r>
              <w:rPr>
                <w:rFonts w:cs="Calibri"/>
                <w:b/>
                <w:sz w:val="18"/>
                <w:szCs w:val="18"/>
                <w:lang w:eastAsia="en-AU"/>
              </w:rPr>
              <w:t>VIC/TAS</w:t>
            </w:r>
          </w:p>
        </w:tc>
        <w:tc>
          <w:tcPr>
            <w:tcW w:w="1417" w:type="dxa"/>
            <w:tcBorders>
              <w:top w:val="nil"/>
              <w:left w:val="nil"/>
              <w:bottom w:val="single" w:sz="4" w:space="0" w:color="auto"/>
              <w:right w:val="single" w:sz="4" w:space="0" w:color="auto"/>
            </w:tcBorders>
            <w:shd w:val="clear" w:color="auto" w:fill="auto"/>
            <w:vAlign w:val="center"/>
            <w:hideMark/>
          </w:tcPr>
          <w:p w14:paraId="09995529"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151,578</w:t>
            </w:r>
          </w:p>
        </w:tc>
        <w:tc>
          <w:tcPr>
            <w:tcW w:w="1562" w:type="dxa"/>
            <w:tcBorders>
              <w:top w:val="nil"/>
              <w:left w:val="nil"/>
              <w:bottom w:val="single" w:sz="4" w:space="0" w:color="auto"/>
              <w:right w:val="single" w:sz="4" w:space="0" w:color="auto"/>
            </w:tcBorders>
            <w:shd w:val="clear" w:color="auto" w:fill="auto"/>
            <w:vAlign w:val="center"/>
            <w:hideMark/>
          </w:tcPr>
          <w:p w14:paraId="5A64BF10"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193,696</w:t>
            </w:r>
          </w:p>
        </w:tc>
        <w:tc>
          <w:tcPr>
            <w:tcW w:w="990" w:type="dxa"/>
            <w:tcBorders>
              <w:top w:val="nil"/>
              <w:left w:val="nil"/>
              <w:bottom w:val="single" w:sz="4" w:space="0" w:color="auto"/>
              <w:right w:val="single" w:sz="4" w:space="0" w:color="auto"/>
            </w:tcBorders>
            <w:shd w:val="clear" w:color="auto" w:fill="auto"/>
            <w:vAlign w:val="center"/>
            <w:hideMark/>
          </w:tcPr>
          <w:p w14:paraId="6602B95A"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0.78</w:t>
            </w:r>
          </w:p>
        </w:tc>
        <w:tc>
          <w:tcPr>
            <w:tcW w:w="1273" w:type="dxa"/>
            <w:tcBorders>
              <w:top w:val="nil"/>
              <w:left w:val="nil"/>
              <w:bottom w:val="single" w:sz="4" w:space="0" w:color="auto"/>
              <w:right w:val="single" w:sz="4" w:space="0" w:color="auto"/>
            </w:tcBorders>
            <w:shd w:val="clear" w:color="auto" w:fill="auto"/>
            <w:vAlign w:val="center"/>
            <w:hideMark/>
          </w:tcPr>
          <w:p w14:paraId="118DAB28"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-42,118</w:t>
            </w:r>
          </w:p>
        </w:tc>
        <w:tc>
          <w:tcPr>
            <w:tcW w:w="1181" w:type="dxa"/>
            <w:tcBorders>
              <w:top w:val="nil"/>
              <w:left w:val="nil"/>
              <w:bottom w:val="single" w:sz="4" w:space="0" w:color="auto"/>
              <w:right w:val="single" w:sz="4" w:space="0" w:color="auto"/>
            </w:tcBorders>
            <w:shd w:val="clear" w:color="auto" w:fill="auto"/>
            <w:vAlign w:val="center"/>
            <w:hideMark/>
          </w:tcPr>
          <w:p w14:paraId="02EBE1DF"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22%</w:t>
            </w:r>
          </w:p>
        </w:tc>
      </w:tr>
      <w:tr w:rsidR="009210B8" w:rsidRPr="0055027D" w14:paraId="60AD1B78"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0AB32D9"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QLD</w:t>
            </w:r>
          </w:p>
        </w:tc>
        <w:tc>
          <w:tcPr>
            <w:tcW w:w="1417" w:type="dxa"/>
            <w:tcBorders>
              <w:top w:val="nil"/>
              <w:left w:val="nil"/>
              <w:bottom w:val="single" w:sz="4" w:space="0" w:color="auto"/>
              <w:right w:val="single" w:sz="4" w:space="0" w:color="auto"/>
            </w:tcBorders>
            <w:shd w:val="clear" w:color="auto" w:fill="auto"/>
            <w:vAlign w:val="center"/>
            <w:hideMark/>
          </w:tcPr>
          <w:p w14:paraId="62CA7543"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144,437</w:t>
            </w:r>
          </w:p>
        </w:tc>
        <w:tc>
          <w:tcPr>
            <w:tcW w:w="1562" w:type="dxa"/>
            <w:tcBorders>
              <w:top w:val="nil"/>
              <w:left w:val="nil"/>
              <w:bottom w:val="single" w:sz="4" w:space="0" w:color="auto"/>
              <w:right w:val="single" w:sz="4" w:space="0" w:color="auto"/>
            </w:tcBorders>
            <w:shd w:val="clear" w:color="auto" w:fill="auto"/>
            <w:vAlign w:val="center"/>
            <w:hideMark/>
          </w:tcPr>
          <w:p w14:paraId="0C0181A8"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150,597</w:t>
            </w:r>
          </w:p>
        </w:tc>
        <w:tc>
          <w:tcPr>
            <w:tcW w:w="990" w:type="dxa"/>
            <w:tcBorders>
              <w:top w:val="nil"/>
              <w:left w:val="nil"/>
              <w:bottom w:val="single" w:sz="4" w:space="0" w:color="auto"/>
              <w:right w:val="single" w:sz="4" w:space="0" w:color="auto"/>
            </w:tcBorders>
            <w:shd w:val="clear" w:color="auto" w:fill="auto"/>
            <w:vAlign w:val="center"/>
            <w:hideMark/>
          </w:tcPr>
          <w:p w14:paraId="30D7B63D"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0.96</w:t>
            </w:r>
          </w:p>
        </w:tc>
        <w:tc>
          <w:tcPr>
            <w:tcW w:w="1273" w:type="dxa"/>
            <w:tcBorders>
              <w:top w:val="nil"/>
              <w:left w:val="nil"/>
              <w:bottom w:val="single" w:sz="4" w:space="0" w:color="auto"/>
              <w:right w:val="single" w:sz="4" w:space="0" w:color="auto"/>
            </w:tcBorders>
            <w:shd w:val="clear" w:color="auto" w:fill="auto"/>
            <w:vAlign w:val="center"/>
            <w:hideMark/>
          </w:tcPr>
          <w:p w14:paraId="5E772271"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-6,160</w:t>
            </w:r>
          </w:p>
        </w:tc>
        <w:tc>
          <w:tcPr>
            <w:tcW w:w="1181" w:type="dxa"/>
            <w:tcBorders>
              <w:top w:val="nil"/>
              <w:left w:val="nil"/>
              <w:bottom w:val="single" w:sz="4" w:space="0" w:color="auto"/>
              <w:right w:val="single" w:sz="4" w:space="0" w:color="auto"/>
            </w:tcBorders>
            <w:shd w:val="clear" w:color="auto" w:fill="auto"/>
            <w:vAlign w:val="center"/>
            <w:hideMark/>
          </w:tcPr>
          <w:p w14:paraId="1B71328D"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4%</w:t>
            </w:r>
          </w:p>
        </w:tc>
      </w:tr>
      <w:tr w:rsidR="009210B8" w:rsidRPr="0055027D" w14:paraId="4D5E88EE"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C03B909" w14:textId="77777777" w:rsidR="009210B8" w:rsidRPr="007E01FD" w:rsidRDefault="009210B8" w:rsidP="009210B8">
            <w:pPr>
              <w:spacing w:after="0" w:line="240" w:lineRule="auto"/>
              <w:rPr>
                <w:rFonts w:cs="Calibri"/>
                <w:b/>
                <w:sz w:val="18"/>
                <w:szCs w:val="18"/>
                <w:lang w:eastAsia="en-AU"/>
              </w:rPr>
            </w:pPr>
            <w:r>
              <w:rPr>
                <w:rFonts w:cs="Calibri"/>
                <w:b/>
                <w:sz w:val="18"/>
                <w:szCs w:val="18"/>
                <w:lang w:eastAsia="en-AU"/>
              </w:rPr>
              <w:t>SA/NT</w:t>
            </w:r>
          </w:p>
        </w:tc>
        <w:tc>
          <w:tcPr>
            <w:tcW w:w="1417" w:type="dxa"/>
            <w:tcBorders>
              <w:top w:val="nil"/>
              <w:left w:val="nil"/>
              <w:bottom w:val="single" w:sz="4" w:space="0" w:color="auto"/>
              <w:right w:val="single" w:sz="4" w:space="0" w:color="auto"/>
            </w:tcBorders>
            <w:shd w:val="clear" w:color="auto" w:fill="auto"/>
            <w:vAlign w:val="center"/>
            <w:hideMark/>
          </w:tcPr>
          <w:p w14:paraId="65DE846E"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52,616</w:t>
            </w:r>
          </w:p>
        </w:tc>
        <w:tc>
          <w:tcPr>
            <w:tcW w:w="1562" w:type="dxa"/>
            <w:tcBorders>
              <w:top w:val="nil"/>
              <w:left w:val="nil"/>
              <w:bottom w:val="single" w:sz="4" w:space="0" w:color="auto"/>
              <w:right w:val="single" w:sz="4" w:space="0" w:color="auto"/>
            </w:tcBorders>
            <w:shd w:val="clear" w:color="auto" w:fill="auto"/>
            <w:vAlign w:val="center"/>
            <w:hideMark/>
          </w:tcPr>
          <w:p w14:paraId="248B5B09"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58,853</w:t>
            </w:r>
          </w:p>
        </w:tc>
        <w:tc>
          <w:tcPr>
            <w:tcW w:w="990" w:type="dxa"/>
            <w:tcBorders>
              <w:top w:val="nil"/>
              <w:left w:val="nil"/>
              <w:bottom w:val="single" w:sz="4" w:space="0" w:color="auto"/>
              <w:right w:val="single" w:sz="4" w:space="0" w:color="auto"/>
            </w:tcBorders>
            <w:shd w:val="clear" w:color="auto" w:fill="auto"/>
            <w:vAlign w:val="center"/>
            <w:hideMark/>
          </w:tcPr>
          <w:p w14:paraId="11303167"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0.89</w:t>
            </w:r>
          </w:p>
        </w:tc>
        <w:tc>
          <w:tcPr>
            <w:tcW w:w="1273" w:type="dxa"/>
            <w:tcBorders>
              <w:top w:val="nil"/>
              <w:left w:val="nil"/>
              <w:bottom w:val="single" w:sz="4" w:space="0" w:color="auto"/>
              <w:right w:val="single" w:sz="4" w:space="0" w:color="auto"/>
            </w:tcBorders>
            <w:shd w:val="clear" w:color="auto" w:fill="auto"/>
            <w:vAlign w:val="center"/>
            <w:hideMark/>
          </w:tcPr>
          <w:p w14:paraId="00E3FAB0"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-6,237</w:t>
            </w:r>
          </w:p>
        </w:tc>
        <w:tc>
          <w:tcPr>
            <w:tcW w:w="1181" w:type="dxa"/>
            <w:tcBorders>
              <w:top w:val="nil"/>
              <w:left w:val="nil"/>
              <w:bottom w:val="single" w:sz="4" w:space="0" w:color="auto"/>
              <w:right w:val="single" w:sz="4" w:space="0" w:color="auto"/>
            </w:tcBorders>
            <w:shd w:val="clear" w:color="auto" w:fill="auto"/>
            <w:vAlign w:val="center"/>
            <w:hideMark/>
          </w:tcPr>
          <w:p w14:paraId="4514E33E"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11%</w:t>
            </w:r>
          </w:p>
        </w:tc>
      </w:tr>
      <w:tr w:rsidR="009210B8" w:rsidRPr="0055027D" w14:paraId="667B4B95"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EB7FBBC"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WA</w:t>
            </w:r>
          </w:p>
        </w:tc>
        <w:tc>
          <w:tcPr>
            <w:tcW w:w="1417" w:type="dxa"/>
            <w:tcBorders>
              <w:top w:val="nil"/>
              <w:left w:val="nil"/>
              <w:bottom w:val="single" w:sz="4" w:space="0" w:color="auto"/>
              <w:right w:val="single" w:sz="4" w:space="0" w:color="auto"/>
            </w:tcBorders>
            <w:shd w:val="clear" w:color="auto" w:fill="auto"/>
            <w:vAlign w:val="center"/>
            <w:hideMark/>
          </w:tcPr>
          <w:p w14:paraId="33413D01"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54,921</w:t>
            </w:r>
          </w:p>
        </w:tc>
        <w:tc>
          <w:tcPr>
            <w:tcW w:w="1562" w:type="dxa"/>
            <w:tcBorders>
              <w:top w:val="nil"/>
              <w:left w:val="nil"/>
              <w:bottom w:val="single" w:sz="4" w:space="0" w:color="auto"/>
              <w:right w:val="single" w:sz="4" w:space="0" w:color="auto"/>
            </w:tcBorders>
            <w:shd w:val="clear" w:color="auto" w:fill="auto"/>
            <w:vAlign w:val="center"/>
            <w:hideMark/>
          </w:tcPr>
          <w:p w14:paraId="68CE23CE"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60,845</w:t>
            </w:r>
          </w:p>
        </w:tc>
        <w:tc>
          <w:tcPr>
            <w:tcW w:w="990" w:type="dxa"/>
            <w:tcBorders>
              <w:top w:val="nil"/>
              <w:left w:val="nil"/>
              <w:bottom w:val="single" w:sz="4" w:space="0" w:color="auto"/>
              <w:right w:val="single" w:sz="4" w:space="0" w:color="auto"/>
            </w:tcBorders>
            <w:shd w:val="clear" w:color="auto" w:fill="auto"/>
            <w:vAlign w:val="center"/>
            <w:hideMark/>
          </w:tcPr>
          <w:p w14:paraId="47408AE0"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0.90</w:t>
            </w:r>
          </w:p>
        </w:tc>
        <w:tc>
          <w:tcPr>
            <w:tcW w:w="1273" w:type="dxa"/>
            <w:tcBorders>
              <w:top w:val="nil"/>
              <w:left w:val="nil"/>
              <w:bottom w:val="single" w:sz="4" w:space="0" w:color="auto"/>
              <w:right w:val="single" w:sz="4" w:space="0" w:color="auto"/>
            </w:tcBorders>
            <w:shd w:val="clear" w:color="auto" w:fill="auto"/>
            <w:vAlign w:val="center"/>
            <w:hideMark/>
          </w:tcPr>
          <w:p w14:paraId="121C8294"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-5,924</w:t>
            </w:r>
          </w:p>
        </w:tc>
        <w:tc>
          <w:tcPr>
            <w:tcW w:w="1181" w:type="dxa"/>
            <w:tcBorders>
              <w:top w:val="nil"/>
              <w:left w:val="nil"/>
              <w:bottom w:val="single" w:sz="4" w:space="0" w:color="auto"/>
              <w:right w:val="single" w:sz="4" w:space="0" w:color="auto"/>
            </w:tcBorders>
            <w:shd w:val="clear" w:color="auto" w:fill="auto"/>
            <w:vAlign w:val="center"/>
            <w:hideMark/>
          </w:tcPr>
          <w:p w14:paraId="6ACA1B04"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10%</w:t>
            </w:r>
          </w:p>
        </w:tc>
      </w:tr>
      <w:tr w:rsidR="009210B8" w:rsidRPr="0055027D" w14:paraId="4AAE4554"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000000" w:fill="E7E6E6"/>
            <w:vAlign w:val="center"/>
            <w:hideMark/>
          </w:tcPr>
          <w:p w14:paraId="230F78F5"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Total</w:t>
            </w:r>
          </w:p>
        </w:tc>
        <w:tc>
          <w:tcPr>
            <w:tcW w:w="1417" w:type="dxa"/>
            <w:tcBorders>
              <w:top w:val="nil"/>
              <w:left w:val="nil"/>
              <w:bottom w:val="single" w:sz="4" w:space="0" w:color="auto"/>
              <w:right w:val="single" w:sz="4" w:space="0" w:color="auto"/>
            </w:tcBorders>
            <w:shd w:val="clear" w:color="000000" w:fill="E7E6E6"/>
            <w:vAlign w:val="center"/>
            <w:hideMark/>
          </w:tcPr>
          <w:p w14:paraId="23A02313"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609,645</w:t>
            </w:r>
          </w:p>
        </w:tc>
        <w:tc>
          <w:tcPr>
            <w:tcW w:w="1562" w:type="dxa"/>
            <w:tcBorders>
              <w:top w:val="nil"/>
              <w:left w:val="nil"/>
              <w:bottom w:val="single" w:sz="4" w:space="0" w:color="auto"/>
              <w:right w:val="single" w:sz="4" w:space="0" w:color="auto"/>
            </w:tcBorders>
            <w:shd w:val="clear" w:color="000000" w:fill="E7E6E6"/>
            <w:vAlign w:val="center"/>
            <w:hideMark/>
          </w:tcPr>
          <w:p w14:paraId="516E6219"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696,938</w:t>
            </w:r>
          </w:p>
        </w:tc>
        <w:tc>
          <w:tcPr>
            <w:tcW w:w="990" w:type="dxa"/>
            <w:tcBorders>
              <w:top w:val="nil"/>
              <w:left w:val="nil"/>
              <w:bottom w:val="single" w:sz="4" w:space="0" w:color="auto"/>
              <w:right w:val="single" w:sz="4" w:space="0" w:color="auto"/>
            </w:tcBorders>
            <w:shd w:val="clear" w:color="000000" w:fill="E7E6E6"/>
            <w:vAlign w:val="center"/>
            <w:hideMark/>
          </w:tcPr>
          <w:p w14:paraId="12B63CE4"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0.87</w:t>
            </w:r>
          </w:p>
        </w:tc>
        <w:tc>
          <w:tcPr>
            <w:tcW w:w="1273" w:type="dxa"/>
            <w:tcBorders>
              <w:top w:val="nil"/>
              <w:left w:val="nil"/>
              <w:bottom w:val="single" w:sz="4" w:space="0" w:color="auto"/>
              <w:right w:val="single" w:sz="4" w:space="0" w:color="auto"/>
            </w:tcBorders>
            <w:shd w:val="clear" w:color="000000" w:fill="E7E6E6"/>
            <w:vAlign w:val="center"/>
            <w:hideMark/>
          </w:tcPr>
          <w:p w14:paraId="744AA834"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-87,293</w:t>
            </w:r>
          </w:p>
        </w:tc>
        <w:tc>
          <w:tcPr>
            <w:tcW w:w="1181" w:type="dxa"/>
            <w:tcBorders>
              <w:top w:val="nil"/>
              <w:left w:val="nil"/>
              <w:bottom w:val="single" w:sz="4" w:space="0" w:color="auto"/>
              <w:right w:val="single" w:sz="4" w:space="0" w:color="auto"/>
            </w:tcBorders>
            <w:shd w:val="clear" w:color="000000" w:fill="E7E6E6"/>
            <w:vAlign w:val="center"/>
            <w:hideMark/>
          </w:tcPr>
          <w:p w14:paraId="6F23C7A0" w14:textId="77777777" w:rsidR="009210B8" w:rsidRPr="007E01FD" w:rsidRDefault="009210B8" w:rsidP="009210B8">
            <w:pPr>
              <w:spacing w:after="0" w:line="240" w:lineRule="auto"/>
              <w:jc w:val="right"/>
              <w:rPr>
                <w:rFonts w:cs="Calibri"/>
                <w:b/>
                <w:sz w:val="18"/>
                <w:szCs w:val="18"/>
                <w:lang w:eastAsia="en-AU"/>
              </w:rPr>
            </w:pPr>
            <w:r>
              <w:rPr>
                <w:rFonts w:cs="Calibri"/>
                <w:b/>
                <w:sz w:val="18"/>
                <w:szCs w:val="18"/>
                <w:lang w:eastAsia="en-AU"/>
              </w:rPr>
              <w:t>-</w:t>
            </w:r>
            <w:r w:rsidRPr="007E01FD">
              <w:rPr>
                <w:rFonts w:cs="Calibri"/>
                <w:b/>
                <w:sz w:val="18"/>
                <w:szCs w:val="18"/>
                <w:lang w:eastAsia="en-AU"/>
              </w:rPr>
              <w:t>13%</w:t>
            </w:r>
          </w:p>
        </w:tc>
      </w:tr>
      <w:tr w:rsidR="009210B8" w:rsidRPr="007E01FD" w14:paraId="7F86DFB2" w14:textId="77777777" w:rsidTr="009210B8">
        <w:trPr>
          <w:trHeight w:val="290"/>
        </w:trPr>
        <w:tc>
          <w:tcPr>
            <w:tcW w:w="7850" w:type="dxa"/>
            <w:gridSpan w:val="8"/>
            <w:tcBorders>
              <w:top w:val="single" w:sz="4" w:space="0" w:color="auto"/>
              <w:left w:val="single" w:sz="4" w:space="0" w:color="auto"/>
              <w:bottom w:val="single" w:sz="4" w:space="0" w:color="auto"/>
              <w:right w:val="single" w:sz="4" w:space="0" w:color="auto"/>
            </w:tcBorders>
            <w:shd w:val="clear" w:color="000000" w:fill="A6A6A6"/>
            <w:vAlign w:val="center"/>
            <w:hideMark/>
          </w:tcPr>
          <w:p w14:paraId="1AA67944"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 xml:space="preserve">Kidney cancer </w:t>
            </w:r>
          </w:p>
        </w:tc>
      </w:tr>
      <w:tr w:rsidR="009210B8" w:rsidRPr="007E01FD" w14:paraId="24F2C8DC"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440A021" w14:textId="77777777" w:rsidR="009210B8" w:rsidRPr="007E01FD" w:rsidRDefault="009210B8" w:rsidP="009210B8">
            <w:pPr>
              <w:spacing w:after="0" w:line="240" w:lineRule="auto"/>
              <w:rPr>
                <w:rFonts w:cs="Calibri"/>
                <w:b/>
                <w:sz w:val="18"/>
                <w:szCs w:val="18"/>
                <w:lang w:eastAsia="en-AU"/>
              </w:rPr>
            </w:pPr>
            <w:r>
              <w:rPr>
                <w:rFonts w:cs="Calibri"/>
                <w:b/>
                <w:sz w:val="18"/>
                <w:szCs w:val="18"/>
                <w:lang w:eastAsia="en-AU"/>
              </w:rPr>
              <w:t>NSW/ACT</w:t>
            </w:r>
          </w:p>
        </w:tc>
        <w:tc>
          <w:tcPr>
            <w:tcW w:w="1417" w:type="dxa"/>
            <w:tcBorders>
              <w:top w:val="nil"/>
              <w:left w:val="nil"/>
              <w:bottom w:val="single" w:sz="4" w:space="0" w:color="auto"/>
              <w:right w:val="single" w:sz="4" w:space="0" w:color="auto"/>
            </w:tcBorders>
            <w:shd w:val="clear" w:color="auto" w:fill="auto"/>
            <w:vAlign w:val="center"/>
            <w:hideMark/>
          </w:tcPr>
          <w:p w14:paraId="6E4C048D"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1,185</w:t>
            </w:r>
          </w:p>
        </w:tc>
        <w:tc>
          <w:tcPr>
            <w:tcW w:w="1562" w:type="dxa"/>
            <w:tcBorders>
              <w:top w:val="nil"/>
              <w:left w:val="nil"/>
              <w:bottom w:val="single" w:sz="4" w:space="0" w:color="auto"/>
              <w:right w:val="single" w:sz="4" w:space="0" w:color="auto"/>
            </w:tcBorders>
            <w:shd w:val="clear" w:color="auto" w:fill="auto"/>
            <w:vAlign w:val="center"/>
            <w:hideMark/>
          </w:tcPr>
          <w:p w14:paraId="75578B15"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1,161</w:t>
            </w:r>
          </w:p>
        </w:tc>
        <w:tc>
          <w:tcPr>
            <w:tcW w:w="990" w:type="dxa"/>
            <w:tcBorders>
              <w:top w:val="nil"/>
              <w:left w:val="nil"/>
              <w:bottom w:val="single" w:sz="4" w:space="0" w:color="auto"/>
              <w:right w:val="single" w:sz="4" w:space="0" w:color="auto"/>
            </w:tcBorders>
            <w:shd w:val="clear" w:color="auto" w:fill="auto"/>
            <w:vAlign w:val="center"/>
            <w:hideMark/>
          </w:tcPr>
          <w:p w14:paraId="3A7F9A31"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1.02</w:t>
            </w:r>
          </w:p>
        </w:tc>
        <w:tc>
          <w:tcPr>
            <w:tcW w:w="1273" w:type="dxa"/>
            <w:tcBorders>
              <w:top w:val="nil"/>
              <w:left w:val="nil"/>
              <w:bottom w:val="single" w:sz="4" w:space="0" w:color="auto"/>
              <w:right w:val="single" w:sz="4" w:space="0" w:color="auto"/>
            </w:tcBorders>
            <w:shd w:val="clear" w:color="auto" w:fill="auto"/>
            <w:vAlign w:val="center"/>
            <w:hideMark/>
          </w:tcPr>
          <w:p w14:paraId="4C4B237D"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24</w:t>
            </w:r>
          </w:p>
        </w:tc>
        <w:tc>
          <w:tcPr>
            <w:tcW w:w="1181" w:type="dxa"/>
            <w:tcBorders>
              <w:top w:val="nil"/>
              <w:left w:val="nil"/>
              <w:bottom w:val="single" w:sz="4" w:space="0" w:color="auto"/>
              <w:right w:val="single" w:sz="4" w:space="0" w:color="auto"/>
            </w:tcBorders>
            <w:shd w:val="clear" w:color="auto" w:fill="auto"/>
            <w:vAlign w:val="center"/>
            <w:hideMark/>
          </w:tcPr>
          <w:p w14:paraId="799D5C81"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w:t>
            </w:r>
          </w:p>
        </w:tc>
      </w:tr>
      <w:tr w:rsidR="009210B8" w:rsidRPr="007E01FD" w14:paraId="066422D5"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1106D7A" w14:textId="77777777" w:rsidR="009210B8" w:rsidRPr="007E01FD" w:rsidRDefault="009210B8" w:rsidP="009210B8">
            <w:pPr>
              <w:spacing w:after="0" w:line="240" w:lineRule="auto"/>
              <w:rPr>
                <w:rFonts w:cs="Calibri"/>
                <w:b/>
                <w:sz w:val="18"/>
                <w:szCs w:val="18"/>
                <w:lang w:eastAsia="en-AU"/>
              </w:rPr>
            </w:pPr>
            <w:r>
              <w:rPr>
                <w:rFonts w:cs="Calibri"/>
                <w:b/>
                <w:sz w:val="18"/>
                <w:szCs w:val="18"/>
                <w:lang w:eastAsia="en-AU"/>
              </w:rPr>
              <w:t>VIC/TAS</w:t>
            </w:r>
          </w:p>
        </w:tc>
        <w:tc>
          <w:tcPr>
            <w:tcW w:w="1417" w:type="dxa"/>
            <w:tcBorders>
              <w:top w:val="nil"/>
              <w:left w:val="nil"/>
              <w:bottom w:val="single" w:sz="4" w:space="0" w:color="auto"/>
              <w:right w:val="single" w:sz="4" w:space="0" w:color="auto"/>
            </w:tcBorders>
            <w:shd w:val="clear" w:color="auto" w:fill="auto"/>
            <w:vAlign w:val="center"/>
            <w:hideMark/>
          </w:tcPr>
          <w:p w14:paraId="3E4494B9"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351</w:t>
            </w:r>
          </w:p>
        </w:tc>
        <w:tc>
          <w:tcPr>
            <w:tcW w:w="1562" w:type="dxa"/>
            <w:tcBorders>
              <w:top w:val="nil"/>
              <w:left w:val="nil"/>
              <w:bottom w:val="single" w:sz="4" w:space="0" w:color="auto"/>
              <w:right w:val="single" w:sz="4" w:space="0" w:color="auto"/>
            </w:tcBorders>
            <w:shd w:val="clear" w:color="auto" w:fill="auto"/>
            <w:vAlign w:val="center"/>
            <w:hideMark/>
          </w:tcPr>
          <w:p w14:paraId="680A47E9"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281</w:t>
            </w:r>
          </w:p>
        </w:tc>
        <w:tc>
          <w:tcPr>
            <w:tcW w:w="990" w:type="dxa"/>
            <w:tcBorders>
              <w:top w:val="nil"/>
              <w:left w:val="nil"/>
              <w:bottom w:val="single" w:sz="4" w:space="0" w:color="auto"/>
              <w:right w:val="single" w:sz="4" w:space="0" w:color="auto"/>
            </w:tcBorders>
            <w:shd w:val="clear" w:color="auto" w:fill="auto"/>
            <w:vAlign w:val="center"/>
            <w:hideMark/>
          </w:tcPr>
          <w:p w14:paraId="6D759327"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1.25</w:t>
            </w:r>
          </w:p>
        </w:tc>
        <w:tc>
          <w:tcPr>
            <w:tcW w:w="1273" w:type="dxa"/>
            <w:tcBorders>
              <w:top w:val="nil"/>
              <w:left w:val="nil"/>
              <w:bottom w:val="single" w:sz="4" w:space="0" w:color="auto"/>
              <w:right w:val="single" w:sz="4" w:space="0" w:color="auto"/>
            </w:tcBorders>
            <w:shd w:val="clear" w:color="auto" w:fill="auto"/>
            <w:vAlign w:val="center"/>
            <w:hideMark/>
          </w:tcPr>
          <w:p w14:paraId="529B3362"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70</w:t>
            </w:r>
          </w:p>
        </w:tc>
        <w:tc>
          <w:tcPr>
            <w:tcW w:w="1181" w:type="dxa"/>
            <w:tcBorders>
              <w:top w:val="nil"/>
              <w:left w:val="nil"/>
              <w:bottom w:val="single" w:sz="4" w:space="0" w:color="auto"/>
              <w:right w:val="single" w:sz="4" w:space="0" w:color="auto"/>
            </w:tcBorders>
            <w:shd w:val="clear" w:color="auto" w:fill="auto"/>
            <w:vAlign w:val="center"/>
            <w:hideMark/>
          </w:tcPr>
          <w:p w14:paraId="270F05F4"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25%</w:t>
            </w:r>
          </w:p>
        </w:tc>
      </w:tr>
      <w:tr w:rsidR="009210B8" w:rsidRPr="007E01FD" w14:paraId="47DEC7CC"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A98F9E7"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QLD</w:t>
            </w:r>
          </w:p>
        </w:tc>
        <w:tc>
          <w:tcPr>
            <w:tcW w:w="1417" w:type="dxa"/>
            <w:tcBorders>
              <w:top w:val="nil"/>
              <w:left w:val="nil"/>
              <w:bottom w:val="single" w:sz="4" w:space="0" w:color="auto"/>
              <w:right w:val="single" w:sz="4" w:space="0" w:color="auto"/>
            </w:tcBorders>
            <w:shd w:val="clear" w:color="auto" w:fill="auto"/>
            <w:vAlign w:val="center"/>
            <w:hideMark/>
          </w:tcPr>
          <w:p w14:paraId="69B7F96B"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260</w:t>
            </w:r>
          </w:p>
        </w:tc>
        <w:tc>
          <w:tcPr>
            <w:tcW w:w="1562" w:type="dxa"/>
            <w:tcBorders>
              <w:top w:val="nil"/>
              <w:left w:val="nil"/>
              <w:bottom w:val="single" w:sz="4" w:space="0" w:color="auto"/>
              <w:right w:val="single" w:sz="4" w:space="0" w:color="auto"/>
            </w:tcBorders>
            <w:shd w:val="clear" w:color="auto" w:fill="auto"/>
            <w:vAlign w:val="center"/>
            <w:hideMark/>
          </w:tcPr>
          <w:p w14:paraId="51E86A4B"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250</w:t>
            </w:r>
          </w:p>
        </w:tc>
        <w:tc>
          <w:tcPr>
            <w:tcW w:w="990" w:type="dxa"/>
            <w:tcBorders>
              <w:top w:val="nil"/>
              <w:left w:val="nil"/>
              <w:bottom w:val="single" w:sz="4" w:space="0" w:color="auto"/>
              <w:right w:val="single" w:sz="4" w:space="0" w:color="auto"/>
            </w:tcBorders>
            <w:shd w:val="clear" w:color="auto" w:fill="auto"/>
            <w:vAlign w:val="center"/>
            <w:hideMark/>
          </w:tcPr>
          <w:p w14:paraId="5C4292B7"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1.04</w:t>
            </w:r>
          </w:p>
        </w:tc>
        <w:tc>
          <w:tcPr>
            <w:tcW w:w="1273" w:type="dxa"/>
            <w:tcBorders>
              <w:top w:val="nil"/>
              <w:left w:val="nil"/>
              <w:bottom w:val="single" w:sz="4" w:space="0" w:color="auto"/>
              <w:right w:val="single" w:sz="4" w:space="0" w:color="auto"/>
            </w:tcBorders>
            <w:shd w:val="clear" w:color="auto" w:fill="auto"/>
            <w:vAlign w:val="center"/>
            <w:hideMark/>
          </w:tcPr>
          <w:p w14:paraId="01035DA9"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10</w:t>
            </w:r>
          </w:p>
        </w:tc>
        <w:tc>
          <w:tcPr>
            <w:tcW w:w="1181" w:type="dxa"/>
            <w:tcBorders>
              <w:top w:val="nil"/>
              <w:left w:val="nil"/>
              <w:bottom w:val="single" w:sz="4" w:space="0" w:color="auto"/>
              <w:right w:val="single" w:sz="4" w:space="0" w:color="auto"/>
            </w:tcBorders>
            <w:shd w:val="clear" w:color="auto" w:fill="auto"/>
            <w:vAlign w:val="center"/>
            <w:hideMark/>
          </w:tcPr>
          <w:p w14:paraId="792CD470"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4%</w:t>
            </w:r>
          </w:p>
        </w:tc>
      </w:tr>
      <w:tr w:rsidR="009210B8" w:rsidRPr="007E01FD" w14:paraId="0BD7C148"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8A3ACE8" w14:textId="77777777" w:rsidR="009210B8" w:rsidRPr="007E01FD" w:rsidRDefault="009210B8" w:rsidP="009210B8">
            <w:pPr>
              <w:spacing w:after="0" w:line="240" w:lineRule="auto"/>
              <w:rPr>
                <w:rFonts w:cs="Calibri"/>
                <w:b/>
                <w:sz w:val="18"/>
                <w:szCs w:val="18"/>
                <w:lang w:eastAsia="en-AU"/>
              </w:rPr>
            </w:pPr>
            <w:r>
              <w:rPr>
                <w:rFonts w:cs="Calibri"/>
                <w:b/>
                <w:sz w:val="18"/>
                <w:szCs w:val="18"/>
                <w:lang w:eastAsia="en-AU"/>
              </w:rPr>
              <w:t>SA/NT</w:t>
            </w:r>
          </w:p>
        </w:tc>
        <w:tc>
          <w:tcPr>
            <w:tcW w:w="1417" w:type="dxa"/>
            <w:tcBorders>
              <w:top w:val="nil"/>
              <w:left w:val="nil"/>
              <w:bottom w:val="single" w:sz="4" w:space="0" w:color="auto"/>
              <w:right w:val="single" w:sz="4" w:space="0" w:color="auto"/>
            </w:tcBorders>
            <w:shd w:val="clear" w:color="auto" w:fill="auto"/>
            <w:vAlign w:val="center"/>
            <w:hideMark/>
          </w:tcPr>
          <w:p w14:paraId="4A2D2B47"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w:t>
            </w:r>
          </w:p>
        </w:tc>
        <w:tc>
          <w:tcPr>
            <w:tcW w:w="1562" w:type="dxa"/>
            <w:tcBorders>
              <w:top w:val="nil"/>
              <w:left w:val="nil"/>
              <w:bottom w:val="single" w:sz="4" w:space="0" w:color="auto"/>
              <w:right w:val="single" w:sz="4" w:space="0" w:color="auto"/>
            </w:tcBorders>
            <w:shd w:val="clear" w:color="auto" w:fill="auto"/>
            <w:vAlign w:val="center"/>
            <w:hideMark/>
          </w:tcPr>
          <w:p w14:paraId="41E22B51"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w:t>
            </w:r>
          </w:p>
        </w:tc>
        <w:tc>
          <w:tcPr>
            <w:tcW w:w="990" w:type="dxa"/>
            <w:tcBorders>
              <w:top w:val="nil"/>
              <w:left w:val="nil"/>
              <w:bottom w:val="single" w:sz="4" w:space="0" w:color="auto"/>
              <w:right w:val="single" w:sz="4" w:space="0" w:color="auto"/>
            </w:tcBorders>
            <w:shd w:val="clear" w:color="auto" w:fill="auto"/>
            <w:vAlign w:val="center"/>
            <w:hideMark/>
          </w:tcPr>
          <w:p w14:paraId="1CA4AB2E"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w:t>
            </w:r>
          </w:p>
        </w:tc>
        <w:tc>
          <w:tcPr>
            <w:tcW w:w="1273" w:type="dxa"/>
            <w:tcBorders>
              <w:top w:val="nil"/>
              <w:left w:val="nil"/>
              <w:bottom w:val="single" w:sz="4" w:space="0" w:color="auto"/>
              <w:right w:val="single" w:sz="4" w:space="0" w:color="auto"/>
            </w:tcBorders>
            <w:shd w:val="clear" w:color="auto" w:fill="auto"/>
            <w:vAlign w:val="center"/>
            <w:hideMark/>
          </w:tcPr>
          <w:p w14:paraId="7447B4A3"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w:t>
            </w:r>
          </w:p>
        </w:tc>
        <w:tc>
          <w:tcPr>
            <w:tcW w:w="1181" w:type="dxa"/>
            <w:tcBorders>
              <w:top w:val="nil"/>
              <w:left w:val="nil"/>
              <w:bottom w:val="single" w:sz="4" w:space="0" w:color="auto"/>
              <w:right w:val="single" w:sz="4" w:space="0" w:color="auto"/>
            </w:tcBorders>
            <w:shd w:val="clear" w:color="auto" w:fill="auto"/>
            <w:vAlign w:val="center"/>
            <w:hideMark/>
          </w:tcPr>
          <w:p w14:paraId="7DE9C281"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w:t>
            </w:r>
          </w:p>
        </w:tc>
      </w:tr>
      <w:tr w:rsidR="009210B8" w:rsidRPr="007E01FD" w14:paraId="421C8DD8"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F1EA8B7"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WA</w:t>
            </w:r>
          </w:p>
        </w:tc>
        <w:tc>
          <w:tcPr>
            <w:tcW w:w="1417" w:type="dxa"/>
            <w:tcBorders>
              <w:top w:val="nil"/>
              <w:left w:val="nil"/>
              <w:bottom w:val="single" w:sz="4" w:space="0" w:color="auto"/>
              <w:right w:val="single" w:sz="4" w:space="0" w:color="auto"/>
            </w:tcBorders>
            <w:shd w:val="clear" w:color="auto" w:fill="auto"/>
            <w:vAlign w:val="center"/>
            <w:hideMark/>
          </w:tcPr>
          <w:p w14:paraId="063B7237"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142</w:t>
            </w:r>
          </w:p>
        </w:tc>
        <w:tc>
          <w:tcPr>
            <w:tcW w:w="1562" w:type="dxa"/>
            <w:tcBorders>
              <w:top w:val="nil"/>
              <w:left w:val="nil"/>
              <w:bottom w:val="single" w:sz="4" w:space="0" w:color="auto"/>
              <w:right w:val="single" w:sz="4" w:space="0" w:color="auto"/>
            </w:tcBorders>
            <w:shd w:val="clear" w:color="auto" w:fill="auto"/>
            <w:vAlign w:val="center"/>
            <w:hideMark/>
          </w:tcPr>
          <w:p w14:paraId="319953AA"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159</w:t>
            </w:r>
          </w:p>
        </w:tc>
        <w:tc>
          <w:tcPr>
            <w:tcW w:w="990" w:type="dxa"/>
            <w:tcBorders>
              <w:top w:val="nil"/>
              <w:left w:val="nil"/>
              <w:bottom w:val="single" w:sz="4" w:space="0" w:color="auto"/>
              <w:right w:val="single" w:sz="4" w:space="0" w:color="auto"/>
            </w:tcBorders>
            <w:shd w:val="clear" w:color="auto" w:fill="auto"/>
            <w:vAlign w:val="center"/>
            <w:hideMark/>
          </w:tcPr>
          <w:p w14:paraId="622B76A0"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0.89</w:t>
            </w:r>
          </w:p>
        </w:tc>
        <w:tc>
          <w:tcPr>
            <w:tcW w:w="1273" w:type="dxa"/>
            <w:tcBorders>
              <w:top w:val="nil"/>
              <w:left w:val="nil"/>
              <w:bottom w:val="single" w:sz="4" w:space="0" w:color="auto"/>
              <w:right w:val="single" w:sz="4" w:space="0" w:color="auto"/>
            </w:tcBorders>
            <w:shd w:val="clear" w:color="auto" w:fill="auto"/>
            <w:vAlign w:val="center"/>
            <w:hideMark/>
          </w:tcPr>
          <w:p w14:paraId="3872B81C"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-17</w:t>
            </w:r>
          </w:p>
        </w:tc>
        <w:tc>
          <w:tcPr>
            <w:tcW w:w="1181" w:type="dxa"/>
            <w:tcBorders>
              <w:top w:val="nil"/>
              <w:left w:val="nil"/>
              <w:bottom w:val="single" w:sz="4" w:space="0" w:color="auto"/>
              <w:right w:val="single" w:sz="4" w:space="0" w:color="auto"/>
            </w:tcBorders>
            <w:shd w:val="clear" w:color="auto" w:fill="auto"/>
            <w:vAlign w:val="center"/>
            <w:hideMark/>
          </w:tcPr>
          <w:p w14:paraId="240DD7CD"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11%</w:t>
            </w:r>
          </w:p>
        </w:tc>
      </w:tr>
      <w:tr w:rsidR="009210B8" w:rsidRPr="007E01FD" w14:paraId="720E6156"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000000" w:fill="E7E6E6"/>
            <w:vAlign w:val="center"/>
            <w:hideMark/>
          </w:tcPr>
          <w:p w14:paraId="5C7A5E0D"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Total</w:t>
            </w:r>
          </w:p>
        </w:tc>
        <w:tc>
          <w:tcPr>
            <w:tcW w:w="1417" w:type="dxa"/>
            <w:tcBorders>
              <w:top w:val="nil"/>
              <w:left w:val="nil"/>
              <w:bottom w:val="single" w:sz="4" w:space="0" w:color="auto"/>
              <w:right w:val="single" w:sz="4" w:space="0" w:color="auto"/>
            </w:tcBorders>
            <w:shd w:val="clear" w:color="000000" w:fill="E7E6E6"/>
            <w:vAlign w:val="center"/>
            <w:hideMark/>
          </w:tcPr>
          <w:p w14:paraId="5D76F69B"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1,940</w:t>
            </w:r>
          </w:p>
        </w:tc>
        <w:tc>
          <w:tcPr>
            <w:tcW w:w="1562" w:type="dxa"/>
            <w:tcBorders>
              <w:top w:val="nil"/>
              <w:left w:val="nil"/>
              <w:bottom w:val="single" w:sz="4" w:space="0" w:color="auto"/>
              <w:right w:val="single" w:sz="4" w:space="0" w:color="auto"/>
            </w:tcBorders>
            <w:shd w:val="clear" w:color="000000" w:fill="E7E6E6"/>
            <w:vAlign w:val="center"/>
            <w:hideMark/>
          </w:tcPr>
          <w:p w14:paraId="37DF8900"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1,854</w:t>
            </w:r>
          </w:p>
        </w:tc>
        <w:tc>
          <w:tcPr>
            <w:tcW w:w="990" w:type="dxa"/>
            <w:tcBorders>
              <w:top w:val="nil"/>
              <w:left w:val="nil"/>
              <w:bottom w:val="single" w:sz="4" w:space="0" w:color="auto"/>
              <w:right w:val="single" w:sz="4" w:space="0" w:color="auto"/>
            </w:tcBorders>
            <w:shd w:val="clear" w:color="000000" w:fill="E7E6E6"/>
            <w:vAlign w:val="center"/>
            <w:hideMark/>
          </w:tcPr>
          <w:p w14:paraId="1597A609"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1.05</w:t>
            </w:r>
          </w:p>
        </w:tc>
        <w:tc>
          <w:tcPr>
            <w:tcW w:w="1273" w:type="dxa"/>
            <w:tcBorders>
              <w:top w:val="nil"/>
              <w:left w:val="nil"/>
              <w:bottom w:val="single" w:sz="4" w:space="0" w:color="auto"/>
              <w:right w:val="single" w:sz="4" w:space="0" w:color="auto"/>
            </w:tcBorders>
            <w:shd w:val="clear" w:color="000000" w:fill="E7E6E6"/>
            <w:vAlign w:val="center"/>
            <w:hideMark/>
          </w:tcPr>
          <w:p w14:paraId="75C9635C"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86</w:t>
            </w:r>
          </w:p>
        </w:tc>
        <w:tc>
          <w:tcPr>
            <w:tcW w:w="1181" w:type="dxa"/>
            <w:tcBorders>
              <w:top w:val="nil"/>
              <w:left w:val="nil"/>
              <w:bottom w:val="single" w:sz="4" w:space="0" w:color="auto"/>
              <w:right w:val="single" w:sz="4" w:space="0" w:color="auto"/>
            </w:tcBorders>
            <w:shd w:val="clear" w:color="000000" w:fill="E7E6E6"/>
            <w:vAlign w:val="center"/>
            <w:hideMark/>
          </w:tcPr>
          <w:p w14:paraId="49F5B430"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5%</w:t>
            </w:r>
          </w:p>
        </w:tc>
      </w:tr>
      <w:tr w:rsidR="009210B8" w:rsidRPr="007E01FD" w14:paraId="552166F5" w14:textId="77777777" w:rsidTr="009210B8">
        <w:trPr>
          <w:trHeight w:val="290"/>
        </w:trPr>
        <w:tc>
          <w:tcPr>
            <w:tcW w:w="7850" w:type="dxa"/>
            <w:gridSpan w:val="8"/>
            <w:tcBorders>
              <w:top w:val="single" w:sz="4" w:space="0" w:color="auto"/>
              <w:left w:val="single" w:sz="4" w:space="0" w:color="auto"/>
              <w:bottom w:val="single" w:sz="4" w:space="0" w:color="auto"/>
              <w:right w:val="single" w:sz="4" w:space="0" w:color="auto"/>
            </w:tcBorders>
            <w:shd w:val="clear" w:color="000000" w:fill="A6A6A6"/>
            <w:vAlign w:val="center"/>
            <w:hideMark/>
          </w:tcPr>
          <w:p w14:paraId="2CB92085"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Liver cancer</w:t>
            </w:r>
          </w:p>
        </w:tc>
      </w:tr>
      <w:tr w:rsidR="009210B8" w:rsidRPr="007E01FD" w14:paraId="79C474FD"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D779A45" w14:textId="77777777" w:rsidR="009210B8" w:rsidRPr="007E01FD" w:rsidRDefault="009210B8" w:rsidP="009210B8">
            <w:pPr>
              <w:spacing w:after="0" w:line="240" w:lineRule="auto"/>
              <w:rPr>
                <w:rFonts w:cs="Calibri"/>
                <w:b/>
                <w:sz w:val="18"/>
                <w:szCs w:val="18"/>
                <w:lang w:eastAsia="en-AU"/>
              </w:rPr>
            </w:pPr>
            <w:r>
              <w:rPr>
                <w:rFonts w:cs="Calibri"/>
                <w:b/>
                <w:sz w:val="18"/>
                <w:szCs w:val="18"/>
                <w:lang w:eastAsia="en-AU"/>
              </w:rPr>
              <w:t>NSW/ACT</w:t>
            </w:r>
          </w:p>
        </w:tc>
        <w:tc>
          <w:tcPr>
            <w:tcW w:w="1417" w:type="dxa"/>
            <w:tcBorders>
              <w:top w:val="nil"/>
              <w:left w:val="nil"/>
              <w:bottom w:val="single" w:sz="4" w:space="0" w:color="auto"/>
              <w:right w:val="single" w:sz="4" w:space="0" w:color="auto"/>
            </w:tcBorders>
            <w:shd w:val="clear" w:color="auto" w:fill="auto"/>
            <w:vAlign w:val="center"/>
            <w:hideMark/>
          </w:tcPr>
          <w:p w14:paraId="70663E07"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1,217</w:t>
            </w:r>
          </w:p>
        </w:tc>
        <w:tc>
          <w:tcPr>
            <w:tcW w:w="1562" w:type="dxa"/>
            <w:tcBorders>
              <w:top w:val="nil"/>
              <w:left w:val="nil"/>
              <w:bottom w:val="single" w:sz="4" w:space="0" w:color="auto"/>
              <w:right w:val="single" w:sz="4" w:space="0" w:color="auto"/>
            </w:tcBorders>
            <w:shd w:val="clear" w:color="auto" w:fill="auto"/>
            <w:vAlign w:val="center"/>
            <w:hideMark/>
          </w:tcPr>
          <w:p w14:paraId="1D668137"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1,327</w:t>
            </w:r>
          </w:p>
        </w:tc>
        <w:tc>
          <w:tcPr>
            <w:tcW w:w="990" w:type="dxa"/>
            <w:tcBorders>
              <w:top w:val="nil"/>
              <w:left w:val="nil"/>
              <w:bottom w:val="single" w:sz="4" w:space="0" w:color="auto"/>
              <w:right w:val="single" w:sz="4" w:space="0" w:color="auto"/>
            </w:tcBorders>
            <w:shd w:val="clear" w:color="auto" w:fill="auto"/>
            <w:vAlign w:val="center"/>
            <w:hideMark/>
          </w:tcPr>
          <w:p w14:paraId="0077D966"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0.92</w:t>
            </w:r>
          </w:p>
        </w:tc>
        <w:tc>
          <w:tcPr>
            <w:tcW w:w="1273" w:type="dxa"/>
            <w:tcBorders>
              <w:top w:val="nil"/>
              <w:left w:val="nil"/>
              <w:bottom w:val="single" w:sz="4" w:space="0" w:color="auto"/>
              <w:right w:val="single" w:sz="4" w:space="0" w:color="auto"/>
            </w:tcBorders>
            <w:shd w:val="clear" w:color="auto" w:fill="auto"/>
            <w:vAlign w:val="center"/>
            <w:hideMark/>
          </w:tcPr>
          <w:p w14:paraId="10DBDD4C"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-110</w:t>
            </w:r>
          </w:p>
        </w:tc>
        <w:tc>
          <w:tcPr>
            <w:tcW w:w="1181" w:type="dxa"/>
            <w:tcBorders>
              <w:top w:val="nil"/>
              <w:left w:val="nil"/>
              <w:bottom w:val="single" w:sz="4" w:space="0" w:color="auto"/>
              <w:right w:val="single" w:sz="4" w:space="0" w:color="auto"/>
            </w:tcBorders>
            <w:shd w:val="clear" w:color="auto" w:fill="auto"/>
            <w:vAlign w:val="center"/>
            <w:hideMark/>
          </w:tcPr>
          <w:p w14:paraId="5DC56BC6"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8%</w:t>
            </w:r>
          </w:p>
        </w:tc>
      </w:tr>
      <w:tr w:rsidR="009210B8" w:rsidRPr="007E01FD" w14:paraId="5778895D"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0C8FF35" w14:textId="77777777" w:rsidR="009210B8" w:rsidRPr="007E01FD" w:rsidRDefault="009210B8" w:rsidP="009210B8">
            <w:pPr>
              <w:spacing w:after="0" w:line="240" w:lineRule="auto"/>
              <w:rPr>
                <w:rFonts w:cs="Calibri"/>
                <w:b/>
                <w:sz w:val="18"/>
                <w:szCs w:val="18"/>
                <w:lang w:eastAsia="en-AU"/>
              </w:rPr>
            </w:pPr>
            <w:r>
              <w:rPr>
                <w:rFonts w:cs="Calibri"/>
                <w:b/>
                <w:sz w:val="18"/>
                <w:szCs w:val="18"/>
                <w:lang w:eastAsia="en-AU"/>
              </w:rPr>
              <w:t>VIC/TAS</w:t>
            </w:r>
          </w:p>
        </w:tc>
        <w:tc>
          <w:tcPr>
            <w:tcW w:w="1417" w:type="dxa"/>
            <w:tcBorders>
              <w:top w:val="nil"/>
              <w:left w:val="nil"/>
              <w:bottom w:val="single" w:sz="4" w:space="0" w:color="auto"/>
              <w:right w:val="single" w:sz="4" w:space="0" w:color="auto"/>
            </w:tcBorders>
            <w:shd w:val="clear" w:color="auto" w:fill="auto"/>
            <w:vAlign w:val="center"/>
            <w:hideMark/>
          </w:tcPr>
          <w:p w14:paraId="39F339F2"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1,125</w:t>
            </w:r>
          </w:p>
        </w:tc>
        <w:tc>
          <w:tcPr>
            <w:tcW w:w="1562" w:type="dxa"/>
            <w:tcBorders>
              <w:top w:val="nil"/>
              <w:left w:val="nil"/>
              <w:bottom w:val="single" w:sz="4" w:space="0" w:color="auto"/>
              <w:right w:val="single" w:sz="4" w:space="0" w:color="auto"/>
            </w:tcBorders>
            <w:shd w:val="clear" w:color="auto" w:fill="auto"/>
            <w:vAlign w:val="center"/>
            <w:hideMark/>
          </w:tcPr>
          <w:p w14:paraId="4302BA67"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1,338</w:t>
            </w:r>
          </w:p>
        </w:tc>
        <w:tc>
          <w:tcPr>
            <w:tcW w:w="990" w:type="dxa"/>
            <w:tcBorders>
              <w:top w:val="nil"/>
              <w:left w:val="nil"/>
              <w:bottom w:val="single" w:sz="4" w:space="0" w:color="auto"/>
              <w:right w:val="single" w:sz="4" w:space="0" w:color="auto"/>
            </w:tcBorders>
            <w:shd w:val="clear" w:color="auto" w:fill="auto"/>
            <w:vAlign w:val="center"/>
            <w:hideMark/>
          </w:tcPr>
          <w:p w14:paraId="5AB5DD47"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0.84</w:t>
            </w:r>
          </w:p>
        </w:tc>
        <w:tc>
          <w:tcPr>
            <w:tcW w:w="1273" w:type="dxa"/>
            <w:tcBorders>
              <w:top w:val="nil"/>
              <w:left w:val="nil"/>
              <w:bottom w:val="single" w:sz="4" w:space="0" w:color="auto"/>
              <w:right w:val="single" w:sz="4" w:space="0" w:color="auto"/>
            </w:tcBorders>
            <w:shd w:val="clear" w:color="auto" w:fill="auto"/>
            <w:vAlign w:val="center"/>
            <w:hideMark/>
          </w:tcPr>
          <w:p w14:paraId="0DF6E129"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-213</w:t>
            </w:r>
          </w:p>
        </w:tc>
        <w:tc>
          <w:tcPr>
            <w:tcW w:w="1181" w:type="dxa"/>
            <w:tcBorders>
              <w:top w:val="nil"/>
              <w:left w:val="nil"/>
              <w:bottom w:val="single" w:sz="4" w:space="0" w:color="auto"/>
              <w:right w:val="single" w:sz="4" w:space="0" w:color="auto"/>
            </w:tcBorders>
            <w:shd w:val="clear" w:color="auto" w:fill="auto"/>
            <w:vAlign w:val="center"/>
            <w:hideMark/>
          </w:tcPr>
          <w:p w14:paraId="532898BE"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16%</w:t>
            </w:r>
          </w:p>
        </w:tc>
      </w:tr>
      <w:tr w:rsidR="009210B8" w:rsidRPr="007E01FD" w14:paraId="2FF44213"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63A948B"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QLD</w:t>
            </w:r>
          </w:p>
        </w:tc>
        <w:tc>
          <w:tcPr>
            <w:tcW w:w="1417" w:type="dxa"/>
            <w:tcBorders>
              <w:top w:val="nil"/>
              <w:left w:val="nil"/>
              <w:bottom w:val="single" w:sz="4" w:space="0" w:color="auto"/>
              <w:right w:val="single" w:sz="4" w:space="0" w:color="auto"/>
            </w:tcBorders>
            <w:shd w:val="clear" w:color="auto" w:fill="auto"/>
            <w:vAlign w:val="center"/>
            <w:hideMark/>
          </w:tcPr>
          <w:p w14:paraId="50617794"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562</w:t>
            </w:r>
          </w:p>
        </w:tc>
        <w:tc>
          <w:tcPr>
            <w:tcW w:w="1562" w:type="dxa"/>
            <w:tcBorders>
              <w:top w:val="nil"/>
              <w:left w:val="nil"/>
              <w:bottom w:val="single" w:sz="4" w:space="0" w:color="auto"/>
              <w:right w:val="single" w:sz="4" w:space="0" w:color="auto"/>
            </w:tcBorders>
            <w:shd w:val="clear" w:color="auto" w:fill="auto"/>
            <w:vAlign w:val="center"/>
            <w:hideMark/>
          </w:tcPr>
          <w:p w14:paraId="463555DC"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635</w:t>
            </w:r>
          </w:p>
        </w:tc>
        <w:tc>
          <w:tcPr>
            <w:tcW w:w="990" w:type="dxa"/>
            <w:tcBorders>
              <w:top w:val="nil"/>
              <w:left w:val="nil"/>
              <w:bottom w:val="single" w:sz="4" w:space="0" w:color="auto"/>
              <w:right w:val="single" w:sz="4" w:space="0" w:color="auto"/>
            </w:tcBorders>
            <w:shd w:val="clear" w:color="auto" w:fill="auto"/>
            <w:vAlign w:val="center"/>
            <w:hideMark/>
          </w:tcPr>
          <w:p w14:paraId="072BC4BF"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0.88</w:t>
            </w:r>
          </w:p>
        </w:tc>
        <w:tc>
          <w:tcPr>
            <w:tcW w:w="1273" w:type="dxa"/>
            <w:tcBorders>
              <w:top w:val="nil"/>
              <w:left w:val="nil"/>
              <w:bottom w:val="single" w:sz="4" w:space="0" w:color="auto"/>
              <w:right w:val="single" w:sz="4" w:space="0" w:color="auto"/>
            </w:tcBorders>
            <w:shd w:val="clear" w:color="auto" w:fill="auto"/>
            <w:vAlign w:val="center"/>
            <w:hideMark/>
          </w:tcPr>
          <w:p w14:paraId="35279579"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-73</w:t>
            </w:r>
          </w:p>
        </w:tc>
        <w:tc>
          <w:tcPr>
            <w:tcW w:w="1181" w:type="dxa"/>
            <w:tcBorders>
              <w:top w:val="nil"/>
              <w:left w:val="nil"/>
              <w:bottom w:val="single" w:sz="4" w:space="0" w:color="auto"/>
              <w:right w:val="single" w:sz="4" w:space="0" w:color="auto"/>
            </w:tcBorders>
            <w:shd w:val="clear" w:color="auto" w:fill="auto"/>
            <w:vAlign w:val="center"/>
            <w:hideMark/>
          </w:tcPr>
          <w:p w14:paraId="4A9E24BD"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12%</w:t>
            </w:r>
          </w:p>
        </w:tc>
      </w:tr>
      <w:tr w:rsidR="009210B8" w:rsidRPr="007E01FD" w14:paraId="1476777F"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8979D75" w14:textId="77777777" w:rsidR="009210B8" w:rsidRPr="007E01FD" w:rsidRDefault="009210B8" w:rsidP="009210B8">
            <w:pPr>
              <w:spacing w:after="0" w:line="240" w:lineRule="auto"/>
              <w:rPr>
                <w:rFonts w:cs="Calibri"/>
                <w:b/>
                <w:sz w:val="18"/>
                <w:szCs w:val="18"/>
                <w:lang w:eastAsia="en-AU"/>
              </w:rPr>
            </w:pPr>
            <w:r>
              <w:rPr>
                <w:rFonts w:cs="Calibri"/>
                <w:b/>
                <w:sz w:val="18"/>
                <w:szCs w:val="18"/>
                <w:lang w:eastAsia="en-AU"/>
              </w:rPr>
              <w:t>SA/NT</w:t>
            </w:r>
          </w:p>
        </w:tc>
        <w:tc>
          <w:tcPr>
            <w:tcW w:w="1417" w:type="dxa"/>
            <w:tcBorders>
              <w:top w:val="nil"/>
              <w:left w:val="nil"/>
              <w:bottom w:val="single" w:sz="4" w:space="0" w:color="auto"/>
              <w:right w:val="single" w:sz="4" w:space="0" w:color="auto"/>
            </w:tcBorders>
            <w:shd w:val="clear" w:color="auto" w:fill="auto"/>
            <w:vAlign w:val="center"/>
            <w:hideMark/>
          </w:tcPr>
          <w:p w14:paraId="7B806113"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218</w:t>
            </w:r>
          </w:p>
        </w:tc>
        <w:tc>
          <w:tcPr>
            <w:tcW w:w="1562" w:type="dxa"/>
            <w:tcBorders>
              <w:top w:val="nil"/>
              <w:left w:val="nil"/>
              <w:bottom w:val="single" w:sz="4" w:space="0" w:color="auto"/>
              <w:right w:val="single" w:sz="4" w:space="0" w:color="auto"/>
            </w:tcBorders>
            <w:shd w:val="clear" w:color="auto" w:fill="auto"/>
            <w:vAlign w:val="center"/>
            <w:hideMark/>
          </w:tcPr>
          <w:p w14:paraId="0719125D"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297</w:t>
            </w:r>
          </w:p>
        </w:tc>
        <w:tc>
          <w:tcPr>
            <w:tcW w:w="990" w:type="dxa"/>
            <w:tcBorders>
              <w:top w:val="nil"/>
              <w:left w:val="nil"/>
              <w:bottom w:val="single" w:sz="4" w:space="0" w:color="auto"/>
              <w:right w:val="single" w:sz="4" w:space="0" w:color="auto"/>
            </w:tcBorders>
            <w:shd w:val="clear" w:color="auto" w:fill="auto"/>
            <w:vAlign w:val="center"/>
            <w:hideMark/>
          </w:tcPr>
          <w:p w14:paraId="67E22205"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0.73</w:t>
            </w:r>
          </w:p>
        </w:tc>
        <w:tc>
          <w:tcPr>
            <w:tcW w:w="1273" w:type="dxa"/>
            <w:tcBorders>
              <w:top w:val="nil"/>
              <w:left w:val="nil"/>
              <w:bottom w:val="single" w:sz="4" w:space="0" w:color="auto"/>
              <w:right w:val="single" w:sz="4" w:space="0" w:color="auto"/>
            </w:tcBorders>
            <w:shd w:val="clear" w:color="auto" w:fill="auto"/>
            <w:vAlign w:val="center"/>
            <w:hideMark/>
          </w:tcPr>
          <w:p w14:paraId="69400869"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-79</w:t>
            </w:r>
          </w:p>
        </w:tc>
        <w:tc>
          <w:tcPr>
            <w:tcW w:w="1181" w:type="dxa"/>
            <w:tcBorders>
              <w:top w:val="nil"/>
              <w:left w:val="nil"/>
              <w:bottom w:val="single" w:sz="4" w:space="0" w:color="auto"/>
              <w:right w:val="single" w:sz="4" w:space="0" w:color="auto"/>
            </w:tcBorders>
            <w:shd w:val="clear" w:color="auto" w:fill="auto"/>
            <w:vAlign w:val="center"/>
            <w:hideMark/>
          </w:tcPr>
          <w:p w14:paraId="588F81E1"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27%</w:t>
            </w:r>
          </w:p>
        </w:tc>
      </w:tr>
      <w:tr w:rsidR="009210B8" w:rsidRPr="007E01FD" w14:paraId="795C9D98"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FD3060D"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WA</w:t>
            </w:r>
          </w:p>
        </w:tc>
        <w:tc>
          <w:tcPr>
            <w:tcW w:w="1417" w:type="dxa"/>
            <w:tcBorders>
              <w:top w:val="nil"/>
              <w:left w:val="nil"/>
              <w:bottom w:val="single" w:sz="4" w:space="0" w:color="auto"/>
              <w:right w:val="single" w:sz="4" w:space="0" w:color="auto"/>
            </w:tcBorders>
            <w:shd w:val="clear" w:color="auto" w:fill="auto"/>
            <w:vAlign w:val="center"/>
            <w:hideMark/>
          </w:tcPr>
          <w:p w14:paraId="7D9BDC10"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324</w:t>
            </w:r>
          </w:p>
        </w:tc>
        <w:tc>
          <w:tcPr>
            <w:tcW w:w="1562" w:type="dxa"/>
            <w:tcBorders>
              <w:top w:val="nil"/>
              <w:left w:val="nil"/>
              <w:bottom w:val="single" w:sz="4" w:space="0" w:color="auto"/>
              <w:right w:val="single" w:sz="4" w:space="0" w:color="auto"/>
            </w:tcBorders>
            <w:shd w:val="clear" w:color="auto" w:fill="auto"/>
            <w:vAlign w:val="center"/>
            <w:hideMark/>
          </w:tcPr>
          <w:p w14:paraId="5F564C9E"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337</w:t>
            </w:r>
          </w:p>
        </w:tc>
        <w:tc>
          <w:tcPr>
            <w:tcW w:w="990" w:type="dxa"/>
            <w:tcBorders>
              <w:top w:val="nil"/>
              <w:left w:val="nil"/>
              <w:bottom w:val="single" w:sz="4" w:space="0" w:color="auto"/>
              <w:right w:val="single" w:sz="4" w:space="0" w:color="auto"/>
            </w:tcBorders>
            <w:shd w:val="clear" w:color="auto" w:fill="auto"/>
            <w:vAlign w:val="center"/>
            <w:hideMark/>
          </w:tcPr>
          <w:p w14:paraId="0CC63E84"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0.96</w:t>
            </w:r>
          </w:p>
        </w:tc>
        <w:tc>
          <w:tcPr>
            <w:tcW w:w="1273" w:type="dxa"/>
            <w:tcBorders>
              <w:top w:val="nil"/>
              <w:left w:val="nil"/>
              <w:bottom w:val="single" w:sz="4" w:space="0" w:color="auto"/>
              <w:right w:val="single" w:sz="4" w:space="0" w:color="auto"/>
            </w:tcBorders>
            <w:shd w:val="clear" w:color="auto" w:fill="auto"/>
            <w:vAlign w:val="center"/>
            <w:hideMark/>
          </w:tcPr>
          <w:p w14:paraId="2C58FDC2"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-13</w:t>
            </w:r>
          </w:p>
        </w:tc>
        <w:tc>
          <w:tcPr>
            <w:tcW w:w="1181" w:type="dxa"/>
            <w:tcBorders>
              <w:top w:val="nil"/>
              <w:left w:val="nil"/>
              <w:bottom w:val="single" w:sz="4" w:space="0" w:color="auto"/>
              <w:right w:val="single" w:sz="4" w:space="0" w:color="auto"/>
            </w:tcBorders>
            <w:shd w:val="clear" w:color="auto" w:fill="auto"/>
            <w:vAlign w:val="center"/>
            <w:hideMark/>
          </w:tcPr>
          <w:p w14:paraId="6D0BD0F8"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4%</w:t>
            </w:r>
          </w:p>
        </w:tc>
      </w:tr>
      <w:tr w:rsidR="009210B8" w:rsidRPr="007E01FD" w14:paraId="409C4E5E"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000000" w:fill="E7E6E6"/>
            <w:vAlign w:val="center"/>
            <w:hideMark/>
          </w:tcPr>
          <w:p w14:paraId="7116D8CF"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Total</w:t>
            </w:r>
          </w:p>
        </w:tc>
        <w:tc>
          <w:tcPr>
            <w:tcW w:w="1417" w:type="dxa"/>
            <w:tcBorders>
              <w:top w:val="nil"/>
              <w:left w:val="nil"/>
              <w:bottom w:val="single" w:sz="4" w:space="0" w:color="auto"/>
              <w:right w:val="single" w:sz="4" w:space="0" w:color="auto"/>
            </w:tcBorders>
            <w:shd w:val="clear" w:color="000000" w:fill="E7E6E6"/>
            <w:vAlign w:val="center"/>
            <w:hideMark/>
          </w:tcPr>
          <w:p w14:paraId="14888280"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3,446</w:t>
            </w:r>
          </w:p>
        </w:tc>
        <w:tc>
          <w:tcPr>
            <w:tcW w:w="1562" w:type="dxa"/>
            <w:tcBorders>
              <w:top w:val="nil"/>
              <w:left w:val="nil"/>
              <w:bottom w:val="single" w:sz="4" w:space="0" w:color="auto"/>
              <w:right w:val="single" w:sz="4" w:space="0" w:color="auto"/>
            </w:tcBorders>
            <w:shd w:val="clear" w:color="000000" w:fill="E7E6E6"/>
            <w:vAlign w:val="center"/>
            <w:hideMark/>
          </w:tcPr>
          <w:p w14:paraId="5403215F"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3,934</w:t>
            </w:r>
          </w:p>
        </w:tc>
        <w:tc>
          <w:tcPr>
            <w:tcW w:w="990" w:type="dxa"/>
            <w:tcBorders>
              <w:top w:val="nil"/>
              <w:left w:val="nil"/>
              <w:bottom w:val="single" w:sz="4" w:space="0" w:color="auto"/>
              <w:right w:val="single" w:sz="4" w:space="0" w:color="auto"/>
            </w:tcBorders>
            <w:shd w:val="clear" w:color="000000" w:fill="E7E6E6"/>
            <w:vAlign w:val="center"/>
            <w:hideMark/>
          </w:tcPr>
          <w:p w14:paraId="17240E2F"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0.88</w:t>
            </w:r>
          </w:p>
        </w:tc>
        <w:tc>
          <w:tcPr>
            <w:tcW w:w="1273" w:type="dxa"/>
            <w:tcBorders>
              <w:top w:val="nil"/>
              <w:left w:val="nil"/>
              <w:bottom w:val="single" w:sz="4" w:space="0" w:color="auto"/>
              <w:right w:val="single" w:sz="4" w:space="0" w:color="auto"/>
            </w:tcBorders>
            <w:shd w:val="clear" w:color="000000" w:fill="E7E6E6"/>
            <w:vAlign w:val="center"/>
            <w:hideMark/>
          </w:tcPr>
          <w:p w14:paraId="5D40DE4A"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-488</w:t>
            </w:r>
          </w:p>
        </w:tc>
        <w:tc>
          <w:tcPr>
            <w:tcW w:w="1181" w:type="dxa"/>
            <w:tcBorders>
              <w:top w:val="nil"/>
              <w:left w:val="nil"/>
              <w:bottom w:val="single" w:sz="4" w:space="0" w:color="auto"/>
              <w:right w:val="single" w:sz="4" w:space="0" w:color="auto"/>
            </w:tcBorders>
            <w:shd w:val="clear" w:color="000000" w:fill="E7E6E6"/>
            <w:vAlign w:val="center"/>
            <w:hideMark/>
          </w:tcPr>
          <w:p w14:paraId="1C9CA616" w14:textId="77777777" w:rsidR="009210B8" w:rsidRPr="007E01FD" w:rsidRDefault="009210B8" w:rsidP="009210B8">
            <w:pPr>
              <w:spacing w:after="0" w:line="240" w:lineRule="auto"/>
              <w:jc w:val="right"/>
              <w:rPr>
                <w:rFonts w:cs="Calibri"/>
                <w:b/>
                <w:sz w:val="18"/>
                <w:szCs w:val="18"/>
                <w:lang w:eastAsia="en-AU"/>
              </w:rPr>
            </w:pPr>
            <w:r>
              <w:rPr>
                <w:rFonts w:cs="Calibri"/>
                <w:b/>
                <w:sz w:val="18"/>
                <w:szCs w:val="18"/>
                <w:lang w:eastAsia="en-AU"/>
              </w:rPr>
              <w:t>-</w:t>
            </w:r>
            <w:r w:rsidRPr="007E01FD">
              <w:rPr>
                <w:rFonts w:cs="Calibri"/>
                <w:b/>
                <w:sz w:val="18"/>
                <w:szCs w:val="18"/>
                <w:lang w:eastAsia="en-AU"/>
              </w:rPr>
              <w:t>12%</w:t>
            </w:r>
          </w:p>
        </w:tc>
      </w:tr>
      <w:tr w:rsidR="009210B8" w:rsidRPr="0055027D" w14:paraId="4593EEC8" w14:textId="77777777" w:rsidTr="009210B8">
        <w:trPr>
          <w:trHeight w:val="290"/>
        </w:trPr>
        <w:tc>
          <w:tcPr>
            <w:tcW w:w="7850" w:type="dxa"/>
            <w:gridSpan w:val="8"/>
            <w:tcBorders>
              <w:top w:val="single" w:sz="4" w:space="0" w:color="auto"/>
              <w:left w:val="single" w:sz="4" w:space="0" w:color="auto"/>
              <w:bottom w:val="single" w:sz="4" w:space="0" w:color="auto"/>
              <w:right w:val="single" w:sz="4" w:space="0" w:color="auto"/>
            </w:tcBorders>
            <w:shd w:val="clear" w:color="000000" w:fill="A6A6A6"/>
            <w:vAlign w:val="center"/>
            <w:hideMark/>
          </w:tcPr>
          <w:p w14:paraId="477744B7"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Lung cancer</w:t>
            </w:r>
          </w:p>
        </w:tc>
      </w:tr>
      <w:tr w:rsidR="009210B8" w:rsidRPr="0055027D" w14:paraId="4B2B67DD"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73C4160" w14:textId="77777777" w:rsidR="009210B8" w:rsidRPr="007E01FD" w:rsidRDefault="009210B8" w:rsidP="009210B8">
            <w:pPr>
              <w:spacing w:after="0" w:line="240" w:lineRule="auto"/>
              <w:rPr>
                <w:rFonts w:cs="Calibri"/>
                <w:b/>
                <w:sz w:val="18"/>
                <w:szCs w:val="18"/>
                <w:lang w:eastAsia="en-AU"/>
              </w:rPr>
            </w:pPr>
            <w:bookmarkStart w:id="201" w:name="_Hlk80955335"/>
            <w:r>
              <w:rPr>
                <w:rFonts w:cs="Calibri"/>
                <w:b/>
                <w:sz w:val="18"/>
                <w:szCs w:val="18"/>
                <w:lang w:eastAsia="en-AU"/>
              </w:rPr>
              <w:t>NSW/ACT</w:t>
            </w:r>
          </w:p>
        </w:tc>
        <w:tc>
          <w:tcPr>
            <w:tcW w:w="1417" w:type="dxa"/>
            <w:tcBorders>
              <w:top w:val="nil"/>
              <w:left w:val="nil"/>
              <w:bottom w:val="single" w:sz="4" w:space="0" w:color="auto"/>
              <w:right w:val="single" w:sz="4" w:space="0" w:color="auto"/>
            </w:tcBorders>
            <w:shd w:val="clear" w:color="auto" w:fill="auto"/>
            <w:vAlign w:val="center"/>
            <w:hideMark/>
          </w:tcPr>
          <w:p w14:paraId="3DA4EE18"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15,077</w:t>
            </w:r>
          </w:p>
        </w:tc>
        <w:tc>
          <w:tcPr>
            <w:tcW w:w="1562" w:type="dxa"/>
            <w:tcBorders>
              <w:top w:val="nil"/>
              <w:left w:val="nil"/>
              <w:bottom w:val="single" w:sz="4" w:space="0" w:color="auto"/>
              <w:right w:val="single" w:sz="4" w:space="0" w:color="auto"/>
            </w:tcBorders>
            <w:shd w:val="clear" w:color="auto" w:fill="auto"/>
            <w:vAlign w:val="center"/>
            <w:hideMark/>
          </w:tcPr>
          <w:p w14:paraId="7B4EEFF9"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17,091</w:t>
            </w:r>
          </w:p>
        </w:tc>
        <w:tc>
          <w:tcPr>
            <w:tcW w:w="990" w:type="dxa"/>
            <w:tcBorders>
              <w:top w:val="nil"/>
              <w:left w:val="nil"/>
              <w:bottom w:val="single" w:sz="4" w:space="0" w:color="auto"/>
              <w:right w:val="single" w:sz="4" w:space="0" w:color="auto"/>
            </w:tcBorders>
            <w:shd w:val="clear" w:color="auto" w:fill="auto"/>
            <w:vAlign w:val="center"/>
            <w:hideMark/>
          </w:tcPr>
          <w:p w14:paraId="1E591AD2"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0.88</w:t>
            </w:r>
          </w:p>
        </w:tc>
        <w:tc>
          <w:tcPr>
            <w:tcW w:w="1273" w:type="dxa"/>
            <w:tcBorders>
              <w:top w:val="nil"/>
              <w:left w:val="nil"/>
              <w:bottom w:val="single" w:sz="4" w:space="0" w:color="auto"/>
              <w:right w:val="single" w:sz="4" w:space="0" w:color="auto"/>
            </w:tcBorders>
            <w:shd w:val="clear" w:color="auto" w:fill="auto"/>
            <w:vAlign w:val="center"/>
            <w:hideMark/>
          </w:tcPr>
          <w:p w14:paraId="5B66AB67"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-2,014</w:t>
            </w:r>
          </w:p>
        </w:tc>
        <w:tc>
          <w:tcPr>
            <w:tcW w:w="1181" w:type="dxa"/>
            <w:tcBorders>
              <w:top w:val="nil"/>
              <w:left w:val="nil"/>
              <w:bottom w:val="single" w:sz="4" w:space="0" w:color="auto"/>
              <w:right w:val="single" w:sz="4" w:space="0" w:color="auto"/>
            </w:tcBorders>
            <w:shd w:val="clear" w:color="auto" w:fill="auto"/>
            <w:vAlign w:val="center"/>
            <w:hideMark/>
          </w:tcPr>
          <w:p w14:paraId="0CCA6257"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12%</w:t>
            </w:r>
          </w:p>
        </w:tc>
      </w:tr>
      <w:tr w:rsidR="009210B8" w:rsidRPr="0055027D" w14:paraId="79951BE7"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B3C7555" w14:textId="77777777" w:rsidR="009210B8" w:rsidRPr="007E01FD" w:rsidRDefault="009210B8" w:rsidP="009210B8">
            <w:pPr>
              <w:spacing w:after="0" w:line="240" w:lineRule="auto"/>
              <w:rPr>
                <w:rFonts w:cs="Calibri"/>
                <w:b/>
                <w:sz w:val="18"/>
                <w:szCs w:val="18"/>
                <w:lang w:eastAsia="en-AU"/>
              </w:rPr>
            </w:pPr>
            <w:r>
              <w:rPr>
                <w:rFonts w:cs="Calibri"/>
                <w:b/>
                <w:sz w:val="18"/>
                <w:szCs w:val="18"/>
                <w:lang w:eastAsia="en-AU"/>
              </w:rPr>
              <w:t>VIC/TAS</w:t>
            </w:r>
          </w:p>
        </w:tc>
        <w:tc>
          <w:tcPr>
            <w:tcW w:w="1417" w:type="dxa"/>
            <w:tcBorders>
              <w:top w:val="nil"/>
              <w:left w:val="nil"/>
              <w:bottom w:val="single" w:sz="4" w:space="0" w:color="auto"/>
              <w:right w:val="single" w:sz="4" w:space="0" w:color="auto"/>
            </w:tcBorders>
            <w:shd w:val="clear" w:color="auto" w:fill="auto"/>
            <w:vAlign w:val="center"/>
            <w:hideMark/>
          </w:tcPr>
          <w:p w14:paraId="396E14DF"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10,540</w:t>
            </w:r>
          </w:p>
        </w:tc>
        <w:tc>
          <w:tcPr>
            <w:tcW w:w="1562" w:type="dxa"/>
            <w:tcBorders>
              <w:top w:val="nil"/>
              <w:left w:val="nil"/>
              <w:bottom w:val="single" w:sz="4" w:space="0" w:color="auto"/>
              <w:right w:val="single" w:sz="4" w:space="0" w:color="auto"/>
            </w:tcBorders>
            <w:shd w:val="clear" w:color="auto" w:fill="auto"/>
            <w:vAlign w:val="center"/>
            <w:hideMark/>
          </w:tcPr>
          <w:p w14:paraId="4F23846E"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11,488</w:t>
            </w:r>
          </w:p>
        </w:tc>
        <w:tc>
          <w:tcPr>
            <w:tcW w:w="990" w:type="dxa"/>
            <w:tcBorders>
              <w:top w:val="nil"/>
              <w:left w:val="nil"/>
              <w:bottom w:val="single" w:sz="4" w:space="0" w:color="auto"/>
              <w:right w:val="single" w:sz="4" w:space="0" w:color="auto"/>
            </w:tcBorders>
            <w:shd w:val="clear" w:color="auto" w:fill="auto"/>
            <w:vAlign w:val="center"/>
            <w:hideMark/>
          </w:tcPr>
          <w:p w14:paraId="209C4C80"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0.92</w:t>
            </w:r>
          </w:p>
        </w:tc>
        <w:tc>
          <w:tcPr>
            <w:tcW w:w="1273" w:type="dxa"/>
            <w:tcBorders>
              <w:top w:val="nil"/>
              <w:left w:val="nil"/>
              <w:bottom w:val="single" w:sz="4" w:space="0" w:color="auto"/>
              <w:right w:val="single" w:sz="4" w:space="0" w:color="auto"/>
            </w:tcBorders>
            <w:shd w:val="clear" w:color="auto" w:fill="auto"/>
            <w:vAlign w:val="center"/>
            <w:hideMark/>
          </w:tcPr>
          <w:p w14:paraId="272F8A7E"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-948</w:t>
            </w:r>
          </w:p>
        </w:tc>
        <w:tc>
          <w:tcPr>
            <w:tcW w:w="1181" w:type="dxa"/>
            <w:tcBorders>
              <w:top w:val="nil"/>
              <w:left w:val="nil"/>
              <w:bottom w:val="single" w:sz="4" w:space="0" w:color="auto"/>
              <w:right w:val="single" w:sz="4" w:space="0" w:color="auto"/>
            </w:tcBorders>
            <w:shd w:val="clear" w:color="auto" w:fill="auto"/>
            <w:vAlign w:val="center"/>
            <w:hideMark/>
          </w:tcPr>
          <w:p w14:paraId="65E0BBE5"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8%</w:t>
            </w:r>
          </w:p>
        </w:tc>
      </w:tr>
      <w:tr w:rsidR="009210B8" w:rsidRPr="0055027D" w14:paraId="3F21EE0C"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85C5358"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QLD</w:t>
            </w:r>
          </w:p>
        </w:tc>
        <w:tc>
          <w:tcPr>
            <w:tcW w:w="1417" w:type="dxa"/>
            <w:tcBorders>
              <w:top w:val="nil"/>
              <w:left w:val="nil"/>
              <w:bottom w:val="single" w:sz="4" w:space="0" w:color="auto"/>
              <w:right w:val="single" w:sz="4" w:space="0" w:color="auto"/>
            </w:tcBorders>
            <w:shd w:val="clear" w:color="auto" w:fill="auto"/>
            <w:vAlign w:val="center"/>
            <w:hideMark/>
          </w:tcPr>
          <w:p w14:paraId="38F63C7F"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6,980</w:t>
            </w:r>
          </w:p>
        </w:tc>
        <w:tc>
          <w:tcPr>
            <w:tcW w:w="1562" w:type="dxa"/>
            <w:tcBorders>
              <w:top w:val="nil"/>
              <w:left w:val="nil"/>
              <w:bottom w:val="single" w:sz="4" w:space="0" w:color="auto"/>
              <w:right w:val="single" w:sz="4" w:space="0" w:color="auto"/>
            </w:tcBorders>
            <w:shd w:val="clear" w:color="auto" w:fill="auto"/>
            <w:vAlign w:val="center"/>
            <w:hideMark/>
          </w:tcPr>
          <w:p w14:paraId="597BB2B2"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7,130</w:t>
            </w:r>
          </w:p>
        </w:tc>
        <w:tc>
          <w:tcPr>
            <w:tcW w:w="990" w:type="dxa"/>
            <w:tcBorders>
              <w:top w:val="nil"/>
              <w:left w:val="nil"/>
              <w:bottom w:val="single" w:sz="4" w:space="0" w:color="auto"/>
              <w:right w:val="single" w:sz="4" w:space="0" w:color="auto"/>
            </w:tcBorders>
            <w:shd w:val="clear" w:color="auto" w:fill="auto"/>
            <w:vAlign w:val="center"/>
            <w:hideMark/>
          </w:tcPr>
          <w:p w14:paraId="79833957"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0.98</w:t>
            </w:r>
          </w:p>
        </w:tc>
        <w:tc>
          <w:tcPr>
            <w:tcW w:w="1273" w:type="dxa"/>
            <w:tcBorders>
              <w:top w:val="nil"/>
              <w:left w:val="nil"/>
              <w:bottom w:val="single" w:sz="4" w:space="0" w:color="auto"/>
              <w:right w:val="single" w:sz="4" w:space="0" w:color="auto"/>
            </w:tcBorders>
            <w:shd w:val="clear" w:color="auto" w:fill="auto"/>
            <w:vAlign w:val="center"/>
            <w:hideMark/>
          </w:tcPr>
          <w:p w14:paraId="3A3BC746"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-150</w:t>
            </w:r>
          </w:p>
        </w:tc>
        <w:tc>
          <w:tcPr>
            <w:tcW w:w="1181" w:type="dxa"/>
            <w:tcBorders>
              <w:top w:val="nil"/>
              <w:left w:val="nil"/>
              <w:bottom w:val="single" w:sz="4" w:space="0" w:color="auto"/>
              <w:right w:val="single" w:sz="4" w:space="0" w:color="auto"/>
            </w:tcBorders>
            <w:shd w:val="clear" w:color="auto" w:fill="auto"/>
            <w:vAlign w:val="center"/>
            <w:hideMark/>
          </w:tcPr>
          <w:p w14:paraId="2258AE42"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2%</w:t>
            </w:r>
          </w:p>
        </w:tc>
      </w:tr>
      <w:tr w:rsidR="009210B8" w:rsidRPr="0055027D" w14:paraId="4FBFA979"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3B6148F" w14:textId="77777777" w:rsidR="009210B8" w:rsidRPr="007E01FD" w:rsidRDefault="009210B8" w:rsidP="009210B8">
            <w:pPr>
              <w:spacing w:after="0" w:line="240" w:lineRule="auto"/>
              <w:rPr>
                <w:rFonts w:cs="Calibri"/>
                <w:b/>
                <w:sz w:val="18"/>
                <w:szCs w:val="18"/>
                <w:lang w:eastAsia="en-AU"/>
              </w:rPr>
            </w:pPr>
            <w:r>
              <w:rPr>
                <w:rFonts w:cs="Calibri"/>
                <w:b/>
                <w:sz w:val="18"/>
                <w:szCs w:val="18"/>
                <w:lang w:eastAsia="en-AU"/>
              </w:rPr>
              <w:lastRenderedPageBreak/>
              <w:t>SA/NT</w:t>
            </w:r>
          </w:p>
        </w:tc>
        <w:tc>
          <w:tcPr>
            <w:tcW w:w="1417" w:type="dxa"/>
            <w:tcBorders>
              <w:top w:val="nil"/>
              <w:left w:val="nil"/>
              <w:bottom w:val="single" w:sz="4" w:space="0" w:color="auto"/>
              <w:right w:val="single" w:sz="4" w:space="0" w:color="auto"/>
            </w:tcBorders>
            <w:shd w:val="clear" w:color="auto" w:fill="auto"/>
            <w:vAlign w:val="center"/>
            <w:hideMark/>
          </w:tcPr>
          <w:p w14:paraId="4B3F6F64"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4,036</w:t>
            </w:r>
          </w:p>
        </w:tc>
        <w:tc>
          <w:tcPr>
            <w:tcW w:w="1562" w:type="dxa"/>
            <w:tcBorders>
              <w:top w:val="nil"/>
              <w:left w:val="nil"/>
              <w:bottom w:val="single" w:sz="4" w:space="0" w:color="auto"/>
              <w:right w:val="single" w:sz="4" w:space="0" w:color="auto"/>
            </w:tcBorders>
            <w:shd w:val="clear" w:color="auto" w:fill="auto"/>
            <w:vAlign w:val="center"/>
            <w:hideMark/>
          </w:tcPr>
          <w:p w14:paraId="5BA12711"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4,536</w:t>
            </w:r>
          </w:p>
        </w:tc>
        <w:tc>
          <w:tcPr>
            <w:tcW w:w="990" w:type="dxa"/>
            <w:tcBorders>
              <w:top w:val="nil"/>
              <w:left w:val="nil"/>
              <w:bottom w:val="single" w:sz="4" w:space="0" w:color="auto"/>
              <w:right w:val="single" w:sz="4" w:space="0" w:color="auto"/>
            </w:tcBorders>
            <w:shd w:val="clear" w:color="auto" w:fill="auto"/>
            <w:vAlign w:val="center"/>
            <w:hideMark/>
          </w:tcPr>
          <w:p w14:paraId="5064ABEA"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0.89</w:t>
            </w:r>
          </w:p>
        </w:tc>
        <w:tc>
          <w:tcPr>
            <w:tcW w:w="1273" w:type="dxa"/>
            <w:tcBorders>
              <w:top w:val="nil"/>
              <w:left w:val="nil"/>
              <w:bottom w:val="single" w:sz="4" w:space="0" w:color="auto"/>
              <w:right w:val="single" w:sz="4" w:space="0" w:color="auto"/>
            </w:tcBorders>
            <w:shd w:val="clear" w:color="auto" w:fill="auto"/>
            <w:vAlign w:val="center"/>
            <w:hideMark/>
          </w:tcPr>
          <w:p w14:paraId="412409B2"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-500</w:t>
            </w:r>
          </w:p>
        </w:tc>
        <w:tc>
          <w:tcPr>
            <w:tcW w:w="1181" w:type="dxa"/>
            <w:tcBorders>
              <w:top w:val="nil"/>
              <w:left w:val="nil"/>
              <w:bottom w:val="single" w:sz="4" w:space="0" w:color="auto"/>
              <w:right w:val="single" w:sz="4" w:space="0" w:color="auto"/>
            </w:tcBorders>
            <w:shd w:val="clear" w:color="auto" w:fill="auto"/>
            <w:vAlign w:val="center"/>
            <w:hideMark/>
          </w:tcPr>
          <w:p w14:paraId="1E94DBC4"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11%</w:t>
            </w:r>
          </w:p>
        </w:tc>
      </w:tr>
      <w:tr w:rsidR="009210B8" w:rsidRPr="0055027D" w14:paraId="3AEB62AF"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6D55470"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WA</w:t>
            </w:r>
          </w:p>
        </w:tc>
        <w:tc>
          <w:tcPr>
            <w:tcW w:w="1417" w:type="dxa"/>
            <w:tcBorders>
              <w:top w:val="nil"/>
              <w:left w:val="nil"/>
              <w:bottom w:val="single" w:sz="4" w:space="0" w:color="auto"/>
              <w:right w:val="single" w:sz="4" w:space="0" w:color="auto"/>
            </w:tcBorders>
            <w:shd w:val="clear" w:color="auto" w:fill="auto"/>
            <w:vAlign w:val="center"/>
            <w:hideMark/>
          </w:tcPr>
          <w:p w14:paraId="4114F91F"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3,929</w:t>
            </w:r>
          </w:p>
        </w:tc>
        <w:tc>
          <w:tcPr>
            <w:tcW w:w="1562" w:type="dxa"/>
            <w:tcBorders>
              <w:top w:val="nil"/>
              <w:left w:val="nil"/>
              <w:bottom w:val="single" w:sz="4" w:space="0" w:color="auto"/>
              <w:right w:val="single" w:sz="4" w:space="0" w:color="auto"/>
            </w:tcBorders>
            <w:shd w:val="clear" w:color="auto" w:fill="auto"/>
            <w:vAlign w:val="center"/>
            <w:hideMark/>
          </w:tcPr>
          <w:p w14:paraId="5CA5E916"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4,202</w:t>
            </w:r>
          </w:p>
        </w:tc>
        <w:tc>
          <w:tcPr>
            <w:tcW w:w="990" w:type="dxa"/>
            <w:tcBorders>
              <w:top w:val="nil"/>
              <w:left w:val="nil"/>
              <w:bottom w:val="single" w:sz="4" w:space="0" w:color="auto"/>
              <w:right w:val="single" w:sz="4" w:space="0" w:color="auto"/>
            </w:tcBorders>
            <w:shd w:val="clear" w:color="auto" w:fill="auto"/>
            <w:vAlign w:val="center"/>
            <w:hideMark/>
          </w:tcPr>
          <w:p w14:paraId="63EBCE20"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0.94</w:t>
            </w:r>
          </w:p>
        </w:tc>
        <w:tc>
          <w:tcPr>
            <w:tcW w:w="1273" w:type="dxa"/>
            <w:tcBorders>
              <w:top w:val="nil"/>
              <w:left w:val="nil"/>
              <w:bottom w:val="single" w:sz="4" w:space="0" w:color="auto"/>
              <w:right w:val="single" w:sz="4" w:space="0" w:color="auto"/>
            </w:tcBorders>
            <w:shd w:val="clear" w:color="auto" w:fill="auto"/>
            <w:vAlign w:val="center"/>
            <w:hideMark/>
          </w:tcPr>
          <w:p w14:paraId="684F995C"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-273</w:t>
            </w:r>
          </w:p>
        </w:tc>
        <w:tc>
          <w:tcPr>
            <w:tcW w:w="1181" w:type="dxa"/>
            <w:tcBorders>
              <w:top w:val="nil"/>
              <w:left w:val="nil"/>
              <w:bottom w:val="single" w:sz="4" w:space="0" w:color="auto"/>
              <w:right w:val="single" w:sz="4" w:space="0" w:color="auto"/>
            </w:tcBorders>
            <w:shd w:val="clear" w:color="auto" w:fill="auto"/>
            <w:vAlign w:val="center"/>
            <w:hideMark/>
          </w:tcPr>
          <w:p w14:paraId="50BB424D"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6%</w:t>
            </w:r>
          </w:p>
        </w:tc>
      </w:tr>
      <w:tr w:rsidR="009210B8" w:rsidRPr="0055027D" w14:paraId="28BAF66A"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000000" w:fill="E7E6E6"/>
            <w:vAlign w:val="center"/>
            <w:hideMark/>
          </w:tcPr>
          <w:p w14:paraId="73359DD3"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Total</w:t>
            </w:r>
          </w:p>
        </w:tc>
        <w:tc>
          <w:tcPr>
            <w:tcW w:w="1417" w:type="dxa"/>
            <w:tcBorders>
              <w:top w:val="nil"/>
              <w:left w:val="nil"/>
              <w:bottom w:val="single" w:sz="4" w:space="0" w:color="auto"/>
              <w:right w:val="single" w:sz="4" w:space="0" w:color="auto"/>
            </w:tcBorders>
            <w:shd w:val="clear" w:color="000000" w:fill="E7E6E6"/>
            <w:vAlign w:val="center"/>
            <w:hideMark/>
          </w:tcPr>
          <w:p w14:paraId="6AF4A814"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40,562</w:t>
            </w:r>
          </w:p>
        </w:tc>
        <w:tc>
          <w:tcPr>
            <w:tcW w:w="1562" w:type="dxa"/>
            <w:tcBorders>
              <w:top w:val="nil"/>
              <w:left w:val="nil"/>
              <w:bottom w:val="single" w:sz="4" w:space="0" w:color="auto"/>
              <w:right w:val="single" w:sz="4" w:space="0" w:color="auto"/>
            </w:tcBorders>
            <w:shd w:val="clear" w:color="000000" w:fill="E7E6E6"/>
            <w:vAlign w:val="center"/>
            <w:hideMark/>
          </w:tcPr>
          <w:p w14:paraId="46E0EDFE"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44,446</w:t>
            </w:r>
          </w:p>
        </w:tc>
        <w:tc>
          <w:tcPr>
            <w:tcW w:w="990" w:type="dxa"/>
            <w:tcBorders>
              <w:top w:val="nil"/>
              <w:left w:val="nil"/>
              <w:bottom w:val="single" w:sz="4" w:space="0" w:color="auto"/>
              <w:right w:val="single" w:sz="4" w:space="0" w:color="auto"/>
            </w:tcBorders>
            <w:shd w:val="clear" w:color="000000" w:fill="E7E6E6"/>
            <w:vAlign w:val="center"/>
            <w:hideMark/>
          </w:tcPr>
          <w:p w14:paraId="3E170450"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0.91</w:t>
            </w:r>
          </w:p>
        </w:tc>
        <w:tc>
          <w:tcPr>
            <w:tcW w:w="1273" w:type="dxa"/>
            <w:tcBorders>
              <w:top w:val="nil"/>
              <w:left w:val="nil"/>
              <w:bottom w:val="single" w:sz="4" w:space="0" w:color="auto"/>
              <w:right w:val="single" w:sz="4" w:space="0" w:color="auto"/>
            </w:tcBorders>
            <w:shd w:val="clear" w:color="000000" w:fill="E7E6E6"/>
            <w:vAlign w:val="center"/>
            <w:hideMark/>
          </w:tcPr>
          <w:p w14:paraId="140D3F24"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-3,884</w:t>
            </w:r>
          </w:p>
        </w:tc>
        <w:tc>
          <w:tcPr>
            <w:tcW w:w="1181" w:type="dxa"/>
            <w:tcBorders>
              <w:top w:val="nil"/>
              <w:left w:val="nil"/>
              <w:bottom w:val="single" w:sz="4" w:space="0" w:color="auto"/>
              <w:right w:val="single" w:sz="4" w:space="0" w:color="auto"/>
            </w:tcBorders>
            <w:shd w:val="clear" w:color="000000" w:fill="E7E6E6"/>
            <w:vAlign w:val="center"/>
            <w:hideMark/>
          </w:tcPr>
          <w:p w14:paraId="5B3C05E5" w14:textId="77777777" w:rsidR="009210B8" w:rsidRPr="007E01FD" w:rsidRDefault="009210B8" w:rsidP="009210B8">
            <w:pPr>
              <w:spacing w:after="0" w:line="240" w:lineRule="auto"/>
              <w:jc w:val="right"/>
              <w:rPr>
                <w:rFonts w:cs="Calibri"/>
                <w:b/>
                <w:sz w:val="18"/>
                <w:szCs w:val="18"/>
                <w:lang w:eastAsia="en-AU"/>
              </w:rPr>
            </w:pPr>
            <w:r>
              <w:rPr>
                <w:rFonts w:cs="Calibri"/>
                <w:b/>
                <w:sz w:val="18"/>
                <w:szCs w:val="18"/>
                <w:lang w:eastAsia="en-AU"/>
              </w:rPr>
              <w:t>-</w:t>
            </w:r>
            <w:r w:rsidRPr="007E01FD">
              <w:rPr>
                <w:rFonts w:cs="Calibri"/>
                <w:b/>
                <w:sz w:val="18"/>
                <w:szCs w:val="18"/>
                <w:lang w:eastAsia="en-AU"/>
              </w:rPr>
              <w:t>9%</w:t>
            </w:r>
          </w:p>
        </w:tc>
      </w:tr>
      <w:bookmarkEnd w:id="201"/>
      <w:tr w:rsidR="009210B8" w:rsidRPr="0055027D" w14:paraId="400D515B" w14:textId="77777777" w:rsidTr="009210B8">
        <w:trPr>
          <w:trHeight w:val="290"/>
        </w:trPr>
        <w:tc>
          <w:tcPr>
            <w:tcW w:w="7850" w:type="dxa"/>
            <w:gridSpan w:val="8"/>
            <w:tcBorders>
              <w:top w:val="single" w:sz="4" w:space="0" w:color="auto"/>
              <w:left w:val="single" w:sz="4" w:space="0" w:color="auto"/>
              <w:bottom w:val="single" w:sz="4" w:space="0" w:color="auto"/>
              <w:right w:val="single" w:sz="4" w:space="0" w:color="auto"/>
            </w:tcBorders>
            <w:shd w:val="clear" w:color="000000" w:fill="A6A6A6"/>
            <w:vAlign w:val="center"/>
            <w:hideMark/>
          </w:tcPr>
          <w:p w14:paraId="278BFA48"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 xml:space="preserve">Prostate </w:t>
            </w:r>
            <w:r>
              <w:rPr>
                <w:rFonts w:cs="Calibri"/>
                <w:b/>
                <w:sz w:val="18"/>
                <w:szCs w:val="18"/>
                <w:lang w:eastAsia="en-AU"/>
              </w:rPr>
              <w:t>cancer</w:t>
            </w:r>
            <w:r>
              <w:rPr>
                <w:rStyle w:val="FootnoteReference"/>
                <w:rFonts w:cs="Calibri"/>
                <w:b/>
                <w:sz w:val="18"/>
                <w:szCs w:val="18"/>
                <w:lang w:eastAsia="en-AU"/>
              </w:rPr>
              <w:footnoteReference w:id="35"/>
            </w:r>
          </w:p>
        </w:tc>
      </w:tr>
      <w:tr w:rsidR="009210B8" w:rsidRPr="0055027D" w14:paraId="3EC2056D"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9F6E88C" w14:textId="77777777" w:rsidR="009210B8" w:rsidRPr="007E01FD" w:rsidRDefault="009210B8" w:rsidP="009210B8">
            <w:pPr>
              <w:spacing w:after="0" w:line="240" w:lineRule="auto"/>
              <w:rPr>
                <w:rFonts w:cs="Calibri"/>
                <w:b/>
                <w:sz w:val="18"/>
                <w:szCs w:val="18"/>
                <w:lang w:eastAsia="en-AU"/>
              </w:rPr>
            </w:pPr>
            <w:r>
              <w:rPr>
                <w:rFonts w:cs="Calibri"/>
                <w:b/>
                <w:sz w:val="18"/>
                <w:szCs w:val="18"/>
                <w:lang w:eastAsia="en-AU"/>
              </w:rPr>
              <w:t>NSW/ACT</w:t>
            </w:r>
          </w:p>
        </w:tc>
        <w:tc>
          <w:tcPr>
            <w:tcW w:w="1417" w:type="dxa"/>
            <w:tcBorders>
              <w:top w:val="nil"/>
              <w:left w:val="nil"/>
              <w:bottom w:val="single" w:sz="4" w:space="0" w:color="auto"/>
              <w:right w:val="single" w:sz="4" w:space="0" w:color="auto"/>
            </w:tcBorders>
            <w:shd w:val="clear" w:color="auto" w:fill="auto"/>
            <w:vAlign w:val="center"/>
            <w:hideMark/>
          </w:tcPr>
          <w:p w14:paraId="7044308D"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222,797</w:t>
            </w:r>
          </w:p>
        </w:tc>
        <w:tc>
          <w:tcPr>
            <w:tcW w:w="1562" w:type="dxa"/>
            <w:tcBorders>
              <w:top w:val="nil"/>
              <w:left w:val="nil"/>
              <w:bottom w:val="single" w:sz="4" w:space="0" w:color="auto"/>
              <w:right w:val="single" w:sz="4" w:space="0" w:color="auto"/>
            </w:tcBorders>
            <w:shd w:val="clear" w:color="auto" w:fill="auto"/>
            <w:vAlign w:val="center"/>
            <w:hideMark/>
          </w:tcPr>
          <w:p w14:paraId="03078E6F"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237,272</w:t>
            </w:r>
          </w:p>
        </w:tc>
        <w:tc>
          <w:tcPr>
            <w:tcW w:w="990" w:type="dxa"/>
            <w:tcBorders>
              <w:top w:val="nil"/>
              <w:left w:val="nil"/>
              <w:bottom w:val="single" w:sz="4" w:space="0" w:color="auto"/>
              <w:right w:val="single" w:sz="4" w:space="0" w:color="auto"/>
            </w:tcBorders>
            <w:shd w:val="clear" w:color="auto" w:fill="auto"/>
            <w:vAlign w:val="center"/>
            <w:hideMark/>
          </w:tcPr>
          <w:p w14:paraId="53EFD984"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0.94</w:t>
            </w:r>
          </w:p>
        </w:tc>
        <w:tc>
          <w:tcPr>
            <w:tcW w:w="1273" w:type="dxa"/>
            <w:tcBorders>
              <w:top w:val="nil"/>
              <w:left w:val="nil"/>
              <w:bottom w:val="single" w:sz="4" w:space="0" w:color="auto"/>
              <w:right w:val="single" w:sz="4" w:space="0" w:color="auto"/>
            </w:tcBorders>
            <w:shd w:val="clear" w:color="auto" w:fill="auto"/>
            <w:vAlign w:val="center"/>
            <w:hideMark/>
          </w:tcPr>
          <w:p w14:paraId="337888B4"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-14,475</w:t>
            </w:r>
          </w:p>
        </w:tc>
        <w:tc>
          <w:tcPr>
            <w:tcW w:w="1181" w:type="dxa"/>
            <w:tcBorders>
              <w:top w:val="nil"/>
              <w:left w:val="nil"/>
              <w:bottom w:val="single" w:sz="4" w:space="0" w:color="auto"/>
              <w:right w:val="single" w:sz="4" w:space="0" w:color="auto"/>
            </w:tcBorders>
            <w:shd w:val="clear" w:color="auto" w:fill="auto"/>
            <w:vAlign w:val="center"/>
            <w:hideMark/>
          </w:tcPr>
          <w:p w14:paraId="32213383"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6%</w:t>
            </w:r>
          </w:p>
        </w:tc>
      </w:tr>
      <w:tr w:rsidR="009210B8" w:rsidRPr="0055027D" w14:paraId="6E0D575A"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4570276" w14:textId="77777777" w:rsidR="009210B8" w:rsidRPr="007E01FD" w:rsidRDefault="009210B8" w:rsidP="009210B8">
            <w:pPr>
              <w:spacing w:after="0" w:line="240" w:lineRule="auto"/>
              <w:rPr>
                <w:rFonts w:cs="Calibri"/>
                <w:b/>
                <w:sz w:val="18"/>
                <w:szCs w:val="18"/>
                <w:lang w:eastAsia="en-AU"/>
              </w:rPr>
            </w:pPr>
            <w:r>
              <w:rPr>
                <w:rFonts w:cs="Calibri"/>
                <w:b/>
                <w:sz w:val="18"/>
                <w:szCs w:val="18"/>
                <w:lang w:eastAsia="en-AU"/>
              </w:rPr>
              <w:t>VIC/TAS</w:t>
            </w:r>
          </w:p>
        </w:tc>
        <w:tc>
          <w:tcPr>
            <w:tcW w:w="1417" w:type="dxa"/>
            <w:tcBorders>
              <w:top w:val="nil"/>
              <w:left w:val="nil"/>
              <w:bottom w:val="single" w:sz="4" w:space="0" w:color="auto"/>
              <w:right w:val="single" w:sz="4" w:space="0" w:color="auto"/>
            </w:tcBorders>
            <w:shd w:val="clear" w:color="auto" w:fill="auto"/>
            <w:vAlign w:val="center"/>
            <w:hideMark/>
          </w:tcPr>
          <w:p w14:paraId="090636DF"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191,289</w:t>
            </w:r>
          </w:p>
        </w:tc>
        <w:tc>
          <w:tcPr>
            <w:tcW w:w="1562" w:type="dxa"/>
            <w:tcBorders>
              <w:top w:val="nil"/>
              <w:left w:val="nil"/>
              <w:bottom w:val="single" w:sz="4" w:space="0" w:color="auto"/>
              <w:right w:val="single" w:sz="4" w:space="0" w:color="auto"/>
            </w:tcBorders>
            <w:shd w:val="clear" w:color="auto" w:fill="auto"/>
            <w:vAlign w:val="center"/>
            <w:hideMark/>
          </w:tcPr>
          <w:p w14:paraId="4E73BFDC"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211,242</w:t>
            </w:r>
          </w:p>
        </w:tc>
        <w:tc>
          <w:tcPr>
            <w:tcW w:w="990" w:type="dxa"/>
            <w:tcBorders>
              <w:top w:val="nil"/>
              <w:left w:val="nil"/>
              <w:bottom w:val="single" w:sz="4" w:space="0" w:color="auto"/>
              <w:right w:val="single" w:sz="4" w:space="0" w:color="auto"/>
            </w:tcBorders>
            <w:shd w:val="clear" w:color="auto" w:fill="auto"/>
            <w:vAlign w:val="center"/>
            <w:hideMark/>
          </w:tcPr>
          <w:p w14:paraId="49943343"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0.91</w:t>
            </w:r>
          </w:p>
        </w:tc>
        <w:tc>
          <w:tcPr>
            <w:tcW w:w="1273" w:type="dxa"/>
            <w:tcBorders>
              <w:top w:val="nil"/>
              <w:left w:val="nil"/>
              <w:bottom w:val="single" w:sz="4" w:space="0" w:color="auto"/>
              <w:right w:val="single" w:sz="4" w:space="0" w:color="auto"/>
            </w:tcBorders>
            <w:shd w:val="clear" w:color="auto" w:fill="auto"/>
            <w:vAlign w:val="center"/>
            <w:hideMark/>
          </w:tcPr>
          <w:p w14:paraId="557F7119"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-19,953</w:t>
            </w:r>
          </w:p>
        </w:tc>
        <w:tc>
          <w:tcPr>
            <w:tcW w:w="1181" w:type="dxa"/>
            <w:tcBorders>
              <w:top w:val="nil"/>
              <w:left w:val="nil"/>
              <w:bottom w:val="single" w:sz="4" w:space="0" w:color="auto"/>
              <w:right w:val="single" w:sz="4" w:space="0" w:color="auto"/>
            </w:tcBorders>
            <w:shd w:val="clear" w:color="auto" w:fill="auto"/>
            <w:vAlign w:val="center"/>
            <w:hideMark/>
          </w:tcPr>
          <w:p w14:paraId="1522AB2B"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9%</w:t>
            </w:r>
          </w:p>
        </w:tc>
      </w:tr>
      <w:tr w:rsidR="009210B8" w:rsidRPr="0055027D" w14:paraId="17F3C07E"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0DD0385"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QLD</w:t>
            </w:r>
          </w:p>
        </w:tc>
        <w:tc>
          <w:tcPr>
            <w:tcW w:w="1417" w:type="dxa"/>
            <w:tcBorders>
              <w:top w:val="nil"/>
              <w:left w:val="nil"/>
              <w:bottom w:val="single" w:sz="4" w:space="0" w:color="auto"/>
              <w:right w:val="single" w:sz="4" w:space="0" w:color="auto"/>
            </w:tcBorders>
            <w:shd w:val="clear" w:color="auto" w:fill="auto"/>
            <w:vAlign w:val="center"/>
            <w:hideMark/>
          </w:tcPr>
          <w:p w14:paraId="09DCC77B"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149,285</w:t>
            </w:r>
          </w:p>
        </w:tc>
        <w:tc>
          <w:tcPr>
            <w:tcW w:w="1562" w:type="dxa"/>
            <w:tcBorders>
              <w:top w:val="nil"/>
              <w:left w:val="nil"/>
              <w:bottom w:val="single" w:sz="4" w:space="0" w:color="auto"/>
              <w:right w:val="single" w:sz="4" w:space="0" w:color="auto"/>
            </w:tcBorders>
            <w:shd w:val="clear" w:color="auto" w:fill="auto"/>
            <w:vAlign w:val="center"/>
            <w:hideMark/>
          </w:tcPr>
          <w:p w14:paraId="75DD7C11"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157,043</w:t>
            </w:r>
          </w:p>
        </w:tc>
        <w:tc>
          <w:tcPr>
            <w:tcW w:w="990" w:type="dxa"/>
            <w:tcBorders>
              <w:top w:val="nil"/>
              <w:left w:val="nil"/>
              <w:bottom w:val="single" w:sz="4" w:space="0" w:color="auto"/>
              <w:right w:val="single" w:sz="4" w:space="0" w:color="auto"/>
            </w:tcBorders>
            <w:shd w:val="clear" w:color="auto" w:fill="auto"/>
            <w:vAlign w:val="center"/>
            <w:hideMark/>
          </w:tcPr>
          <w:p w14:paraId="4CED95D4"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0.95</w:t>
            </w:r>
          </w:p>
        </w:tc>
        <w:tc>
          <w:tcPr>
            <w:tcW w:w="1273" w:type="dxa"/>
            <w:tcBorders>
              <w:top w:val="nil"/>
              <w:left w:val="nil"/>
              <w:bottom w:val="single" w:sz="4" w:space="0" w:color="auto"/>
              <w:right w:val="single" w:sz="4" w:space="0" w:color="auto"/>
            </w:tcBorders>
            <w:shd w:val="clear" w:color="auto" w:fill="auto"/>
            <w:vAlign w:val="center"/>
            <w:hideMark/>
          </w:tcPr>
          <w:p w14:paraId="5199D762"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-7,758</w:t>
            </w:r>
          </w:p>
        </w:tc>
        <w:tc>
          <w:tcPr>
            <w:tcW w:w="1181" w:type="dxa"/>
            <w:tcBorders>
              <w:top w:val="nil"/>
              <w:left w:val="nil"/>
              <w:bottom w:val="single" w:sz="4" w:space="0" w:color="auto"/>
              <w:right w:val="single" w:sz="4" w:space="0" w:color="auto"/>
            </w:tcBorders>
            <w:shd w:val="clear" w:color="auto" w:fill="auto"/>
            <w:vAlign w:val="center"/>
            <w:hideMark/>
          </w:tcPr>
          <w:p w14:paraId="15E89DA0"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5%</w:t>
            </w:r>
          </w:p>
        </w:tc>
      </w:tr>
      <w:tr w:rsidR="009210B8" w:rsidRPr="0055027D" w14:paraId="37FDAF68"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D2C728B" w14:textId="77777777" w:rsidR="009210B8" w:rsidRPr="007E01FD" w:rsidRDefault="009210B8" w:rsidP="009210B8">
            <w:pPr>
              <w:spacing w:after="0" w:line="240" w:lineRule="auto"/>
              <w:rPr>
                <w:rFonts w:cs="Calibri"/>
                <w:b/>
                <w:sz w:val="18"/>
                <w:szCs w:val="18"/>
                <w:lang w:eastAsia="en-AU"/>
              </w:rPr>
            </w:pPr>
            <w:r>
              <w:rPr>
                <w:rFonts w:cs="Calibri"/>
                <w:b/>
                <w:sz w:val="18"/>
                <w:szCs w:val="18"/>
                <w:lang w:eastAsia="en-AU"/>
              </w:rPr>
              <w:t>SA/NT</w:t>
            </w:r>
          </w:p>
        </w:tc>
        <w:tc>
          <w:tcPr>
            <w:tcW w:w="1417" w:type="dxa"/>
            <w:tcBorders>
              <w:top w:val="nil"/>
              <w:left w:val="nil"/>
              <w:bottom w:val="single" w:sz="4" w:space="0" w:color="auto"/>
              <w:right w:val="single" w:sz="4" w:space="0" w:color="auto"/>
            </w:tcBorders>
            <w:shd w:val="clear" w:color="auto" w:fill="auto"/>
            <w:vAlign w:val="center"/>
            <w:hideMark/>
          </w:tcPr>
          <w:p w14:paraId="2D33375B"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63,566</w:t>
            </w:r>
          </w:p>
        </w:tc>
        <w:tc>
          <w:tcPr>
            <w:tcW w:w="1562" w:type="dxa"/>
            <w:tcBorders>
              <w:top w:val="nil"/>
              <w:left w:val="nil"/>
              <w:bottom w:val="single" w:sz="4" w:space="0" w:color="auto"/>
              <w:right w:val="single" w:sz="4" w:space="0" w:color="auto"/>
            </w:tcBorders>
            <w:shd w:val="clear" w:color="auto" w:fill="auto"/>
            <w:vAlign w:val="center"/>
            <w:hideMark/>
          </w:tcPr>
          <w:p w14:paraId="20DF7773"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65,150</w:t>
            </w:r>
          </w:p>
        </w:tc>
        <w:tc>
          <w:tcPr>
            <w:tcW w:w="990" w:type="dxa"/>
            <w:tcBorders>
              <w:top w:val="nil"/>
              <w:left w:val="nil"/>
              <w:bottom w:val="single" w:sz="4" w:space="0" w:color="auto"/>
              <w:right w:val="single" w:sz="4" w:space="0" w:color="auto"/>
            </w:tcBorders>
            <w:shd w:val="clear" w:color="auto" w:fill="auto"/>
            <w:vAlign w:val="center"/>
            <w:hideMark/>
          </w:tcPr>
          <w:p w14:paraId="37F64501"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0.98</w:t>
            </w:r>
          </w:p>
        </w:tc>
        <w:tc>
          <w:tcPr>
            <w:tcW w:w="1273" w:type="dxa"/>
            <w:tcBorders>
              <w:top w:val="nil"/>
              <w:left w:val="nil"/>
              <w:bottom w:val="single" w:sz="4" w:space="0" w:color="auto"/>
              <w:right w:val="single" w:sz="4" w:space="0" w:color="auto"/>
            </w:tcBorders>
            <w:shd w:val="clear" w:color="auto" w:fill="auto"/>
            <w:vAlign w:val="center"/>
            <w:hideMark/>
          </w:tcPr>
          <w:p w14:paraId="7DC2031D"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-1,584</w:t>
            </w:r>
          </w:p>
        </w:tc>
        <w:tc>
          <w:tcPr>
            <w:tcW w:w="1181" w:type="dxa"/>
            <w:tcBorders>
              <w:top w:val="nil"/>
              <w:left w:val="nil"/>
              <w:bottom w:val="single" w:sz="4" w:space="0" w:color="auto"/>
              <w:right w:val="single" w:sz="4" w:space="0" w:color="auto"/>
            </w:tcBorders>
            <w:shd w:val="clear" w:color="auto" w:fill="auto"/>
            <w:vAlign w:val="center"/>
            <w:hideMark/>
          </w:tcPr>
          <w:p w14:paraId="16FE61E1"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2%</w:t>
            </w:r>
          </w:p>
        </w:tc>
      </w:tr>
      <w:tr w:rsidR="009210B8" w:rsidRPr="0055027D" w14:paraId="4908CB9C" w14:textId="77777777" w:rsidTr="009210B8">
        <w:trPr>
          <w:gridAfter w:val="2"/>
          <w:wAfter w:w="14" w:type="dxa"/>
          <w:trHeight w:val="396"/>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A3F0B3D"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WA</w:t>
            </w:r>
          </w:p>
        </w:tc>
        <w:tc>
          <w:tcPr>
            <w:tcW w:w="1417" w:type="dxa"/>
            <w:tcBorders>
              <w:top w:val="nil"/>
              <w:left w:val="nil"/>
              <w:bottom w:val="single" w:sz="4" w:space="0" w:color="auto"/>
              <w:right w:val="single" w:sz="4" w:space="0" w:color="auto"/>
            </w:tcBorders>
            <w:shd w:val="clear" w:color="auto" w:fill="auto"/>
            <w:vAlign w:val="center"/>
            <w:hideMark/>
          </w:tcPr>
          <w:p w14:paraId="7F9EF08F"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87,061</w:t>
            </w:r>
          </w:p>
        </w:tc>
        <w:tc>
          <w:tcPr>
            <w:tcW w:w="1562" w:type="dxa"/>
            <w:tcBorders>
              <w:top w:val="nil"/>
              <w:left w:val="nil"/>
              <w:bottom w:val="single" w:sz="4" w:space="0" w:color="auto"/>
              <w:right w:val="single" w:sz="4" w:space="0" w:color="auto"/>
            </w:tcBorders>
            <w:shd w:val="clear" w:color="auto" w:fill="auto"/>
            <w:vAlign w:val="center"/>
            <w:hideMark/>
          </w:tcPr>
          <w:p w14:paraId="0F7F9025"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93,910</w:t>
            </w:r>
          </w:p>
        </w:tc>
        <w:tc>
          <w:tcPr>
            <w:tcW w:w="990" w:type="dxa"/>
            <w:tcBorders>
              <w:top w:val="nil"/>
              <w:left w:val="nil"/>
              <w:bottom w:val="single" w:sz="4" w:space="0" w:color="auto"/>
              <w:right w:val="single" w:sz="4" w:space="0" w:color="auto"/>
            </w:tcBorders>
            <w:shd w:val="clear" w:color="auto" w:fill="auto"/>
            <w:vAlign w:val="center"/>
            <w:hideMark/>
          </w:tcPr>
          <w:p w14:paraId="2BC98806"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0.93</w:t>
            </w:r>
          </w:p>
        </w:tc>
        <w:tc>
          <w:tcPr>
            <w:tcW w:w="1273" w:type="dxa"/>
            <w:tcBorders>
              <w:top w:val="nil"/>
              <w:left w:val="nil"/>
              <w:bottom w:val="single" w:sz="4" w:space="0" w:color="auto"/>
              <w:right w:val="single" w:sz="4" w:space="0" w:color="auto"/>
            </w:tcBorders>
            <w:shd w:val="clear" w:color="auto" w:fill="auto"/>
            <w:vAlign w:val="center"/>
            <w:hideMark/>
          </w:tcPr>
          <w:p w14:paraId="6D742AF0"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-6,849</w:t>
            </w:r>
          </w:p>
        </w:tc>
        <w:tc>
          <w:tcPr>
            <w:tcW w:w="1181" w:type="dxa"/>
            <w:tcBorders>
              <w:top w:val="nil"/>
              <w:left w:val="nil"/>
              <w:bottom w:val="single" w:sz="4" w:space="0" w:color="auto"/>
              <w:right w:val="single" w:sz="4" w:space="0" w:color="auto"/>
            </w:tcBorders>
            <w:shd w:val="clear" w:color="auto" w:fill="auto"/>
            <w:vAlign w:val="center"/>
            <w:hideMark/>
          </w:tcPr>
          <w:p w14:paraId="1CA03472"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7%</w:t>
            </w:r>
          </w:p>
        </w:tc>
      </w:tr>
      <w:tr w:rsidR="009210B8" w:rsidRPr="0055027D" w14:paraId="3C2EFA3F"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000000" w:fill="E7E6E6"/>
            <w:vAlign w:val="center"/>
            <w:hideMark/>
          </w:tcPr>
          <w:p w14:paraId="71780379"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Total</w:t>
            </w:r>
          </w:p>
        </w:tc>
        <w:tc>
          <w:tcPr>
            <w:tcW w:w="1417" w:type="dxa"/>
            <w:tcBorders>
              <w:top w:val="nil"/>
              <w:left w:val="nil"/>
              <w:bottom w:val="single" w:sz="4" w:space="0" w:color="auto"/>
              <w:right w:val="single" w:sz="4" w:space="0" w:color="auto"/>
            </w:tcBorders>
            <w:shd w:val="clear" w:color="000000" w:fill="E7E6E6"/>
            <w:vAlign w:val="center"/>
            <w:hideMark/>
          </w:tcPr>
          <w:p w14:paraId="242A3710"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713,998</w:t>
            </w:r>
          </w:p>
        </w:tc>
        <w:tc>
          <w:tcPr>
            <w:tcW w:w="1562" w:type="dxa"/>
            <w:tcBorders>
              <w:top w:val="nil"/>
              <w:left w:val="nil"/>
              <w:bottom w:val="single" w:sz="4" w:space="0" w:color="auto"/>
              <w:right w:val="single" w:sz="4" w:space="0" w:color="auto"/>
            </w:tcBorders>
            <w:shd w:val="clear" w:color="000000" w:fill="E7E6E6"/>
            <w:vAlign w:val="center"/>
            <w:hideMark/>
          </w:tcPr>
          <w:p w14:paraId="028F2F44"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764,61</w:t>
            </w:r>
            <w:r>
              <w:rPr>
                <w:rFonts w:cs="Calibri"/>
                <w:b/>
                <w:sz w:val="18"/>
                <w:szCs w:val="18"/>
                <w:lang w:eastAsia="en-AU"/>
              </w:rPr>
              <w:t>7</w:t>
            </w:r>
          </w:p>
        </w:tc>
        <w:tc>
          <w:tcPr>
            <w:tcW w:w="990" w:type="dxa"/>
            <w:tcBorders>
              <w:top w:val="nil"/>
              <w:left w:val="nil"/>
              <w:bottom w:val="single" w:sz="4" w:space="0" w:color="auto"/>
              <w:right w:val="single" w:sz="4" w:space="0" w:color="auto"/>
            </w:tcBorders>
            <w:shd w:val="clear" w:color="000000" w:fill="E7E6E6"/>
            <w:vAlign w:val="center"/>
            <w:hideMark/>
          </w:tcPr>
          <w:p w14:paraId="4A14FDFF"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0.93</w:t>
            </w:r>
          </w:p>
        </w:tc>
        <w:tc>
          <w:tcPr>
            <w:tcW w:w="1273" w:type="dxa"/>
            <w:tcBorders>
              <w:top w:val="nil"/>
              <w:left w:val="nil"/>
              <w:bottom w:val="single" w:sz="4" w:space="0" w:color="auto"/>
              <w:right w:val="single" w:sz="4" w:space="0" w:color="auto"/>
            </w:tcBorders>
            <w:shd w:val="clear" w:color="000000" w:fill="E7E6E6"/>
            <w:vAlign w:val="center"/>
            <w:hideMark/>
          </w:tcPr>
          <w:p w14:paraId="2261059E"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-50,61</w:t>
            </w:r>
            <w:r>
              <w:rPr>
                <w:rFonts w:cs="Calibri"/>
                <w:b/>
                <w:sz w:val="18"/>
                <w:szCs w:val="18"/>
                <w:lang w:eastAsia="en-AU"/>
              </w:rPr>
              <w:t>9</w:t>
            </w:r>
          </w:p>
        </w:tc>
        <w:tc>
          <w:tcPr>
            <w:tcW w:w="1181" w:type="dxa"/>
            <w:tcBorders>
              <w:top w:val="nil"/>
              <w:left w:val="nil"/>
              <w:bottom w:val="single" w:sz="4" w:space="0" w:color="auto"/>
              <w:right w:val="single" w:sz="4" w:space="0" w:color="auto"/>
            </w:tcBorders>
            <w:shd w:val="clear" w:color="000000" w:fill="E7E6E6"/>
            <w:vAlign w:val="center"/>
            <w:hideMark/>
          </w:tcPr>
          <w:p w14:paraId="7F21510A" w14:textId="77777777" w:rsidR="009210B8" w:rsidRPr="007E01FD" w:rsidRDefault="009210B8" w:rsidP="009210B8">
            <w:pPr>
              <w:spacing w:after="0" w:line="240" w:lineRule="auto"/>
              <w:jc w:val="right"/>
              <w:rPr>
                <w:rFonts w:cs="Calibri"/>
                <w:b/>
                <w:sz w:val="18"/>
                <w:szCs w:val="18"/>
                <w:lang w:eastAsia="en-AU"/>
              </w:rPr>
            </w:pPr>
            <w:r>
              <w:rPr>
                <w:rFonts w:cs="Calibri"/>
                <w:b/>
                <w:sz w:val="18"/>
                <w:szCs w:val="18"/>
                <w:lang w:eastAsia="en-AU"/>
              </w:rPr>
              <w:t>-</w:t>
            </w:r>
            <w:r w:rsidRPr="007E01FD">
              <w:rPr>
                <w:rFonts w:cs="Calibri"/>
                <w:b/>
                <w:sz w:val="18"/>
                <w:szCs w:val="18"/>
                <w:lang w:eastAsia="en-AU"/>
              </w:rPr>
              <w:t>7%</w:t>
            </w:r>
          </w:p>
        </w:tc>
      </w:tr>
      <w:tr w:rsidR="009210B8" w:rsidRPr="0055027D" w14:paraId="38724911" w14:textId="77777777" w:rsidTr="009210B8">
        <w:trPr>
          <w:trHeight w:val="290"/>
        </w:trPr>
        <w:tc>
          <w:tcPr>
            <w:tcW w:w="7850" w:type="dxa"/>
            <w:gridSpan w:val="8"/>
            <w:tcBorders>
              <w:top w:val="single" w:sz="4" w:space="0" w:color="auto"/>
              <w:left w:val="single" w:sz="4" w:space="0" w:color="auto"/>
              <w:bottom w:val="single" w:sz="4" w:space="0" w:color="auto"/>
              <w:right w:val="single" w:sz="4" w:space="0" w:color="auto"/>
            </w:tcBorders>
            <w:shd w:val="clear" w:color="000000" w:fill="A6A6A6"/>
            <w:vAlign w:val="center"/>
            <w:hideMark/>
          </w:tcPr>
          <w:p w14:paraId="71432869" w14:textId="77777777" w:rsidR="009210B8" w:rsidRPr="007E01FD" w:rsidRDefault="009210B8" w:rsidP="009210B8">
            <w:pPr>
              <w:spacing w:after="0" w:line="240" w:lineRule="auto"/>
              <w:rPr>
                <w:rFonts w:cs="Calibri"/>
                <w:b/>
                <w:sz w:val="18"/>
                <w:szCs w:val="18"/>
                <w:lang w:eastAsia="en-AU"/>
              </w:rPr>
            </w:pPr>
            <w:r>
              <w:rPr>
                <w:rFonts w:cs="Calibri"/>
                <w:b/>
                <w:sz w:val="18"/>
                <w:szCs w:val="18"/>
                <w:lang w:eastAsia="en-AU"/>
              </w:rPr>
              <w:t xml:space="preserve">Stomach and </w:t>
            </w:r>
            <w:r w:rsidRPr="007E01FD">
              <w:rPr>
                <w:rFonts w:cs="Calibri"/>
                <w:b/>
                <w:sz w:val="18"/>
                <w:szCs w:val="18"/>
                <w:lang w:eastAsia="en-AU"/>
              </w:rPr>
              <w:t>pancreatic cancers</w:t>
            </w:r>
            <w:r>
              <w:rPr>
                <w:rStyle w:val="FootnoteReference"/>
                <w:rFonts w:cs="Calibri"/>
                <w:b/>
                <w:sz w:val="18"/>
                <w:szCs w:val="18"/>
                <w:lang w:eastAsia="en-AU"/>
              </w:rPr>
              <w:footnoteReference w:id="36"/>
            </w:r>
            <w:r>
              <w:rPr>
                <w:rStyle w:val="FootnoteReference"/>
                <w:rFonts w:cs="Calibri"/>
                <w:b/>
                <w:sz w:val="18"/>
                <w:szCs w:val="18"/>
                <w:lang w:eastAsia="en-AU"/>
              </w:rPr>
              <w:footnoteReference w:id="37"/>
            </w:r>
          </w:p>
        </w:tc>
      </w:tr>
      <w:tr w:rsidR="009210B8" w:rsidRPr="0055027D" w14:paraId="1AEC4E53"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369F402" w14:textId="77777777" w:rsidR="009210B8" w:rsidRPr="007E01FD" w:rsidRDefault="009210B8" w:rsidP="009210B8">
            <w:pPr>
              <w:spacing w:after="0" w:line="240" w:lineRule="auto"/>
              <w:rPr>
                <w:rFonts w:cs="Calibri"/>
                <w:b/>
                <w:sz w:val="18"/>
                <w:szCs w:val="18"/>
                <w:lang w:eastAsia="en-AU"/>
              </w:rPr>
            </w:pPr>
            <w:r>
              <w:rPr>
                <w:rFonts w:cs="Calibri"/>
                <w:b/>
                <w:sz w:val="18"/>
                <w:szCs w:val="18"/>
                <w:lang w:eastAsia="en-AU"/>
              </w:rPr>
              <w:t>NSW/ACT</w:t>
            </w:r>
          </w:p>
        </w:tc>
        <w:tc>
          <w:tcPr>
            <w:tcW w:w="1417" w:type="dxa"/>
            <w:tcBorders>
              <w:top w:val="nil"/>
              <w:left w:val="nil"/>
              <w:bottom w:val="single" w:sz="4" w:space="0" w:color="auto"/>
              <w:right w:val="single" w:sz="4" w:space="0" w:color="auto"/>
            </w:tcBorders>
            <w:shd w:val="clear" w:color="auto" w:fill="auto"/>
            <w:vAlign w:val="center"/>
            <w:hideMark/>
          </w:tcPr>
          <w:p w14:paraId="62C2BA9B"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5,292</w:t>
            </w:r>
          </w:p>
        </w:tc>
        <w:tc>
          <w:tcPr>
            <w:tcW w:w="1562" w:type="dxa"/>
            <w:tcBorders>
              <w:top w:val="nil"/>
              <w:left w:val="nil"/>
              <w:bottom w:val="single" w:sz="4" w:space="0" w:color="auto"/>
              <w:right w:val="single" w:sz="4" w:space="0" w:color="auto"/>
            </w:tcBorders>
            <w:shd w:val="clear" w:color="auto" w:fill="auto"/>
            <w:vAlign w:val="center"/>
            <w:hideMark/>
          </w:tcPr>
          <w:p w14:paraId="637DA9E4"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6,134</w:t>
            </w:r>
          </w:p>
        </w:tc>
        <w:tc>
          <w:tcPr>
            <w:tcW w:w="990" w:type="dxa"/>
            <w:tcBorders>
              <w:top w:val="nil"/>
              <w:left w:val="nil"/>
              <w:bottom w:val="single" w:sz="4" w:space="0" w:color="auto"/>
              <w:right w:val="single" w:sz="4" w:space="0" w:color="auto"/>
            </w:tcBorders>
            <w:shd w:val="clear" w:color="auto" w:fill="auto"/>
            <w:vAlign w:val="center"/>
            <w:hideMark/>
          </w:tcPr>
          <w:p w14:paraId="66EB8B02"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0.86</w:t>
            </w:r>
          </w:p>
        </w:tc>
        <w:tc>
          <w:tcPr>
            <w:tcW w:w="1273" w:type="dxa"/>
            <w:tcBorders>
              <w:top w:val="nil"/>
              <w:left w:val="nil"/>
              <w:bottom w:val="single" w:sz="4" w:space="0" w:color="auto"/>
              <w:right w:val="single" w:sz="4" w:space="0" w:color="auto"/>
            </w:tcBorders>
            <w:shd w:val="clear" w:color="auto" w:fill="auto"/>
            <w:vAlign w:val="center"/>
            <w:hideMark/>
          </w:tcPr>
          <w:p w14:paraId="7540BD3D"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-842</w:t>
            </w:r>
          </w:p>
        </w:tc>
        <w:tc>
          <w:tcPr>
            <w:tcW w:w="1181" w:type="dxa"/>
            <w:tcBorders>
              <w:top w:val="nil"/>
              <w:left w:val="nil"/>
              <w:bottom w:val="single" w:sz="4" w:space="0" w:color="auto"/>
              <w:right w:val="single" w:sz="4" w:space="0" w:color="auto"/>
            </w:tcBorders>
            <w:shd w:val="clear" w:color="auto" w:fill="auto"/>
            <w:vAlign w:val="center"/>
            <w:hideMark/>
          </w:tcPr>
          <w:p w14:paraId="4FA8D47B"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14%</w:t>
            </w:r>
          </w:p>
        </w:tc>
      </w:tr>
      <w:tr w:rsidR="009210B8" w:rsidRPr="0055027D" w14:paraId="47552C20"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6857F3F" w14:textId="77777777" w:rsidR="009210B8" w:rsidRPr="007E01FD" w:rsidRDefault="009210B8" w:rsidP="009210B8">
            <w:pPr>
              <w:spacing w:after="0" w:line="240" w:lineRule="auto"/>
              <w:rPr>
                <w:rFonts w:cs="Calibri"/>
                <w:b/>
                <w:sz w:val="18"/>
                <w:szCs w:val="18"/>
                <w:lang w:eastAsia="en-AU"/>
              </w:rPr>
            </w:pPr>
            <w:r>
              <w:rPr>
                <w:rFonts w:cs="Calibri"/>
                <w:b/>
                <w:sz w:val="18"/>
                <w:szCs w:val="18"/>
                <w:lang w:eastAsia="en-AU"/>
              </w:rPr>
              <w:t>VIC/TAS</w:t>
            </w:r>
          </w:p>
        </w:tc>
        <w:tc>
          <w:tcPr>
            <w:tcW w:w="1417" w:type="dxa"/>
            <w:tcBorders>
              <w:top w:val="nil"/>
              <w:left w:val="nil"/>
              <w:bottom w:val="single" w:sz="4" w:space="0" w:color="auto"/>
              <w:right w:val="single" w:sz="4" w:space="0" w:color="auto"/>
            </w:tcBorders>
            <w:shd w:val="clear" w:color="auto" w:fill="auto"/>
            <w:vAlign w:val="center"/>
            <w:hideMark/>
          </w:tcPr>
          <w:p w14:paraId="7A6F7D75"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2,842</w:t>
            </w:r>
          </w:p>
        </w:tc>
        <w:tc>
          <w:tcPr>
            <w:tcW w:w="1562" w:type="dxa"/>
            <w:tcBorders>
              <w:top w:val="nil"/>
              <w:left w:val="nil"/>
              <w:bottom w:val="single" w:sz="4" w:space="0" w:color="auto"/>
              <w:right w:val="single" w:sz="4" w:space="0" w:color="auto"/>
            </w:tcBorders>
            <w:shd w:val="clear" w:color="auto" w:fill="auto"/>
            <w:vAlign w:val="center"/>
            <w:hideMark/>
          </w:tcPr>
          <w:p w14:paraId="222CEF29"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3,150</w:t>
            </w:r>
          </w:p>
        </w:tc>
        <w:tc>
          <w:tcPr>
            <w:tcW w:w="990" w:type="dxa"/>
            <w:tcBorders>
              <w:top w:val="nil"/>
              <w:left w:val="nil"/>
              <w:bottom w:val="single" w:sz="4" w:space="0" w:color="auto"/>
              <w:right w:val="single" w:sz="4" w:space="0" w:color="auto"/>
            </w:tcBorders>
            <w:shd w:val="clear" w:color="auto" w:fill="auto"/>
            <w:vAlign w:val="center"/>
            <w:hideMark/>
          </w:tcPr>
          <w:p w14:paraId="30DFC2E6"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0.90</w:t>
            </w:r>
          </w:p>
        </w:tc>
        <w:tc>
          <w:tcPr>
            <w:tcW w:w="1273" w:type="dxa"/>
            <w:tcBorders>
              <w:top w:val="nil"/>
              <w:left w:val="nil"/>
              <w:bottom w:val="single" w:sz="4" w:space="0" w:color="auto"/>
              <w:right w:val="single" w:sz="4" w:space="0" w:color="auto"/>
            </w:tcBorders>
            <w:shd w:val="clear" w:color="auto" w:fill="auto"/>
            <w:vAlign w:val="center"/>
            <w:hideMark/>
          </w:tcPr>
          <w:p w14:paraId="1344C494"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-308</w:t>
            </w:r>
          </w:p>
        </w:tc>
        <w:tc>
          <w:tcPr>
            <w:tcW w:w="1181" w:type="dxa"/>
            <w:tcBorders>
              <w:top w:val="nil"/>
              <w:left w:val="nil"/>
              <w:bottom w:val="single" w:sz="4" w:space="0" w:color="auto"/>
              <w:right w:val="single" w:sz="4" w:space="0" w:color="auto"/>
            </w:tcBorders>
            <w:shd w:val="clear" w:color="auto" w:fill="auto"/>
            <w:vAlign w:val="center"/>
            <w:hideMark/>
          </w:tcPr>
          <w:p w14:paraId="50361F22"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10%</w:t>
            </w:r>
          </w:p>
        </w:tc>
      </w:tr>
      <w:tr w:rsidR="009210B8" w:rsidRPr="0055027D" w14:paraId="766EEDBA"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98A9A1F"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QLD</w:t>
            </w:r>
          </w:p>
        </w:tc>
        <w:tc>
          <w:tcPr>
            <w:tcW w:w="1417" w:type="dxa"/>
            <w:tcBorders>
              <w:top w:val="nil"/>
              <w:left w:val="nil"/>
              <w:bottom w:val="single" w:sz="4" w:space="0" w:color="auto"/>
              <w:right w:val="single" w:sz="4" w:space="0" w:color="auto"/>
            </w:tcBorders>
            <w:shd w:val="clear" w:color="auto" w:fill="auto"/>
            <w:vAlign w:val="center"/>
            <w:hideMark/>
          </w:tcPr>
          <w:p w14:paraId="45477094"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2,548</w:t>
            </w:r>
          </w:p>
        </w:tc>
        <w:tc>
          <w:tcPr>
            <w:tcW w:w="1562" w:type="dxa"/>
            <w:tcBorders>
              <w:top w:val="nil"/>
              <w:left w:val="nil"/>
              <w:bottom w:val="single" w:sz="4" w:space="0" w:color="auto"/>
              <w:right w:val="single" w:sz="4" w:space="0" w:color="auto"/>
            </w:tcBorders>
            <w:shd w:val="clear" w:color="auto" w:fill="auto"/>
            <w:vAlign w:val="center"/>
            <w:hideMark/>
          </w:tcPr>
          <w:p w14:paraId="60B6A505"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2,257</w:t>
            </w:r>
          </w:p>
        </w:tc>
        <w:tc>
          <w:tcPr>
            <w:tcW w:w="990" w:type="dxa"/>
            <w:tcBorders>
              <w:top w:val="nil"/>
              <w:left w:val="nil"/>
              <w:bottom w:val="single" w:sz="4" w:space="0" w:color="auto"/>
              <w:right w:val="single" w:sz="4" w:space="0" w:color="auto"/>
            </w:tcBorders>
            <w:shd w:val="clear" w:color="auto" w:fill="auto"/>
            <w:vAlign w:val="center"/>
            <w:hideMark/>
          </w:tcPr>
          <w:p w14:paraId="59E5A70D"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1.13</w:t>
            </w:r>
          </w:p>
        </w:tc>
        <w:tc>
          <w:tcPr>
            <w:tcW w:w="1273" w:type="dxa"/>
            <w:tcBorders>
              <w:top w:val="nil"/>
              <w:left w:val="nil"/>
              <w:bottom w:val="single" w:sz="4" w:space="0" w:color="auto"/>
              <w:right w:val="single" w:sz="4" w:space="0" w:color="auto"/>
            </w:tcBorders>
            <w:shd w:val="clear" w:color="auto" w:fill="auto"/>
            <w:vAlign w:val="center"/>
            <w:hideMark/>
          </w:tcPr>
          <w:p w14:paraId="5A468FB0"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291</w:t>
            </w:r>
          </w:p>
        </w:tc>
        <w:tc>
          <w:tcPr>
            <w:tcW w:w="1181" w:type="dxa"/>
            <w:tcBorders>
              <w:top w:val="nil"/>
              <w:left w:val="nil"/>
              <w:bottom w:val="single" w:sz="4" w:space="0" w:color="auto"/>
              <w:right w:val="single" w:sz="4" w:space="0" w:color="auto"/>
            </w:tcBorders>
            <w:shd w:val="clear" w:color="auto" w:fill="auto"/>
            <w:vAlign w:val="center"/>
            <w:hideMark/>
          </w:tcPr>
          <w:p w14:paraId="60033757"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13%</w:t>
            </w:r>
          </w:p>
        </w:tc>
      </w:tr>
      <w:tr w:rsidR="009210B8" w:rsidRPr="0055027D" w14:paraId="23F7ECE3"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8A2F2B5" w14:textId="77777777" w:rsidR="009210B8" w:rsidRPr="007E01FD" w:rsidRDefault="009210B8" w:rsidP="009210B8">
            <w:pPr>
              <w:spacing w:after="0" w:line="240" w:lineRule="auto"/>
              <w:rPr>
                <w:rFonts w:cs="Calibri"/>
                <w:b/>
                <w:sz w:val="18"/>
                <w:szCs w:val="18"/>
                <w:lang w:eastAsia="en-AU"/>
              </w:rPr>
            </w:pPr>
            <w:r>
              <w:rPr>
                <w:rFonts w:cs="Calibri"/>
                <w:b/>
                <w:sz w:val="18"/>
                <w:szCs w:val="18"/>
                <w:lang w:eastAsia="en-AU"/>
              </w:rPr>
              <w:t>SA/NT</w:t>
            </w:r>
          </w:p>
        </w:tc>
        <w:tc>
          <w:tcPr>
            <w:tcW w:w="1417" w:type="dxa"/>
            <w:tcBorders>
              <w:top w:val="nil"/>
              <w:left w:val="nil"/>
              <w:bottom w:val="single" w:sz="4" w:space="0" w:color="auto"/>
              <w:right w:val="single" w:sz="4" w:space="0" w:color="auto"/>
            </w:tcBorders>
            <w:shd w:val="clear" w:color="auto" w:fill="auto"/>
            <w:vAlign w:val="center"/>
            <w:hideMark/>
          </w:tcPr>
          <w:p w14:paraId="3E45C03A"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1,330</w:t>
            </w:r>
          </w:p>
        </w:tc>
        <w:tc>
          <w:tcPr>
            <w:tcW w:w="1562" w:type="dxa"/>
            <w:tcBorders>
              <w:top w:val="nil"/>
              <w:left w:val="nil"/>
              <w:bottom w:val="single" w:sz="4" w:space="0" w:color="auto"/>
              <w:right w:val="single" w:sz="4" w:space="0" w:color="auto"/>
            </w:tcBorders>
            <w:shd w:val="clear" w:color="auto" w:fill="auto"/>
            <w:vAlign w:val="center"/>
            <w:hideMark/>
          </w:tcPr>
          <w:p w14:paraId="14EC4CEF"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1,294</w:t>
            </w:r>
          </w:p>
        </w:tc>
        <w:tc>
          <w:tcPr>
            <w:tcW w:w="990" w:type="dxa"/>
            <w:tcBorders>
              <w:top w:val="nil"/>
              <w:left w:val="nil"/>
              <w:bottom w:val="single" w:sz="4" w:space="0" w:color="auto"/>
              <w:right w:val="single" w:sz="4" w:space="0" w:color="auto"/>
            </w:tcBorders>
            <w:shd w:val="clear" w:color="auto" w:fill="auto"/>
            <w:vAlign w:val="center"/>
            <w:hideMark/>
          </w:tcPr>
          <w:p w14:paraId="48503AD3"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1.03</w:t>
            </w:r>
          </w:p>
        </w:tc>
        <w:tc>
          <w:tcPr>
            <w:tcW w:w="1273" w:type="dxa"/>
            <w:tcBorders>
              <w:top w:val="nil"/>
              <w:left w:val="nil"/>
              <w:bottom w:val="single" w:sz="4" w:space="0" w:color="auto"/>
              <w:right w:val="single" w:sz="4" w:space="0" w:color="auto"/>
            </w:tcBorders>
            <w:shd w:val="clear" w:color="auto" w:fill="auto"/>
            <w:vAlign w:val="center"/>
            <w:hideMark/>
          </w:tcPr>
          <w:p w14:paraId="48ED8DDD"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36</w:t>
            </w:r>
          </w:p>
        </w:tc>
        <w:tc>
          <w:tcPr>
            <w:tcW w:w="1181" w:type="dxa"/>
            <w:tcBorders>
              <w:top w:val="nil"/>
              <w:left w:val="nil"/>
              <w:bottom w:val="single" w:sz="4" w:space="0" w:color="auto"/>
              <w:right w:val="single" w:sz="4" w:space="0" w:color="auto"/>
            </w:tcBorders>
            <w:shd w:val="clear" w:color="auto" w:fill="auto"/>
            <w:vAlign w:val="center"/>
            <w:hideMark/>
          </w:tcPr>
          <w:p w14:paraId="5C682FA0"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3%</w:t>
            </w:r>
          </w:p>
        </w:tc>
      </w:tr>
      <w:tr w:rsidR="009210B8" w:rsidRPr="0055027D" w14:paraId="01E2B599"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947792F"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WA</w:t>
            </w:r>
          </w:p>
        </w:tc>
        <w:tc>
          <w:tcPr>
            <w:tcW w:w="1417" w:type="dxa"/>
            <w:tcBorders>
              <w:top w:val="nil"/>
              <w:left w:val="nil"/>
              <w:bottom w:val="single" w:sz="4" w:space="0" w:color="auto"/>
              <w:right w:val="single" w:sz="4" w:space="0" w:color="auto"/>
            </w:tcBorders>
            <w:shd w:val="clear" w:color="auto" w:fill="auto"/>
            <w:vAlign w:val="center"/>
            <w:hideMark/>
          </w:tcPr>
          <w:p w14:paraId="4600ED2B"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978</w:t>
            </w:r>
          </w:p>
        </w:tc>
        <w:tc>
          <w:tcPr>
            <w:tcW w:w="1562" w:type="dxa"/>
            <w:tcBorders>
              <w:top w:val="nil"/>
              <w:left w:val="nil"/>
              <w:bottom w:val="single" w:sz="4" w:space="0" w:color="auto"/>
              <w:right w:val="single" w:sz="4" w:space="0" w:color="auto"/>
            </w:tcBorders>
            <w:shd w:val="clear" w:color="auto" w:fill="auto"/>
            <w:vAlign w:val="center"/>
            <w:hideMark/>
          </w:tcPr>
          <w:p w14:paraId="2C977672"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1,026</w:t>
            </w:r>
          </w:p>
        </w:tc>
        <w:tc>
          <w:tcPr>
            <w:tcW w:w="990" w:type="dxa"/>
            <w:tcBorders>
              <w:top w:val="nil"/>
              <w:left w:val="nil"/>
              <w:bottom w:val="single" w:sz="4" w:space="0" w:color="auto"/>
              <w:right w:val="single" w:sz="4" w:space="0" w:color="auto"/>
            </w:tcBorders>
            <w:shd w:val="clear" w:color="auto" w:fill="auto"/>
            <w:vAlign w:val="center"/>
            <w:hideMark/>
          </w:tcPr>
          <w:p w14:paraId="49A7B580"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0.95</w:t>
            </w:r>
          </w:p>
        </w:tc>
        <w:tc>
          <w:tcPr>
            <w:tcW w:w="1273" w:type="dxa"/>
            <w:tcBorders>
              <w:top w:val="nil"/>
              <w:left w:val="nil"/>
              <w:bottom w:val="single" w:sz="4" w:space="0" w:color="auto"/>
              <w:right w:val="single" w:sz="4" w:space="0" w:color="auto"/>
            </w:tcBorders>
            <w:shd w:val="clear" w:color="auto" w:fill="auto"/>
            <w:vAlign w:val="center"/>
            <w:hideMark/>
          </w:tcPr>
          <w:p w14:paraId="41EAD148"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-48</w:t>
            </w:r>
          </w:p>
        </w:tc>
        <w:tc>
          <w:tcPr>
            <w:tcW w:w="1181" w:type="dxa"/>
            <w:tcBorders>
              <w:top w:val="nil"/>
              <w:left w:val="nil"/>
              <w:bottom w:val="single" w:sz="4" w:space="0" w:color="auto"/>
              <w:right w:val="single" w:sz="4" w:space="0" w:color="auto"/>
            </w:tcBorders>
            <w:shd w:val="clear" w:color="auto" w:fill="auto"/>
            <w:vAlign w:val="center"/>
            <w:hideMark/>
          </w:tcPr>
          <w:p w14:paraId="686B9291"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5%</w:t>
            </w:r>
          </w:p>
        </w:tc>
      </w:tr>
      <w:tr w:rsidR="009210B8" w:rsidRPr="0055027D" w14:paraId="18303CD6"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000000" w:fill="E7E6E6"/>
            <w:vAlign w:val="center"/>
            <w:hideMark/>
          </w:tcPr>
          <w:p w14:paraId="715D57CA"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Total</w:t>
            </w:r>
          </w:p>
        </w:tc>
        <w:tc>
          <w:tcPr>
            <w:tcW w:w="1417" w:type="dxa"/>
            <w:tcBorders>
              <w:top w:val="nil"/>
              <w:left w:val="nil"/>
              <w:bottom w:val="single" w:sz="4" w:space="0" w:color="auto"/>
              <w:right w:val="single" w:sz="4" w:space="0" w:color="auto"/>
            </w:tcBorders>
            <w:shd w:val="clear" w:color="000000" w:fill="E7E6E6"/>
            <w:vAlign w:val="center"/>
            <w:hideMark/>
          </w:tcPr>
          <w:p w14:paraId="24FDDCD8"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12,990</w:t>
            </w:r>
          </w:p>
        </w:tc>
        <w:tc>
          <w:tcPr>
            <w:tcW w:w="1562" w:type="dxa"/>
            <w:tcBorders>
              <w:top w:val="nil"/>
              <w:left w:val="nil"/>
              <w:bottom w:val="single" w:sz="4" w:space="0" w:color="auto"/>
              <w:right w:val="single" w:sz="4" w:space="0" w:color="auto"/>
            </w:tcBorders>
            <w:shd w:val="clear" w:color="000000" w:fill="E7E6E6"/>
            <w:vAlign w:val="center"/>
            <w:hideMark/>
          </w:tcPr>
          <w:p w14:paraId="3A0E09A2"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13,860</w:t>
            </w:r>
          </w:p>
        </w:tc>
        <w:tc>
          <w:tcPr>
            <w:tcW w:w="990" w:type="dxa"/>
            <w:tcBorders>
              <w:top w:val="nil"/>
              <w:left w:val="nil"/>
              <w:bottom w:val="single" w:sz="4" w:space="0" w:color="auto"/>
              <w:right w:val="single" w:sz="4" w:space="0" w:color="auto"/>
            </w:tcBorders>
            <w:shd w:val="clear" w:color="000000" w:fill="E7E6E6"/>
            <w:vAlign w:val="center"/>
            <w:hideMark/>
          </w:tcPr>
          <w:p w14:paraId="47946A69"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0.94</w:t>
            </w:r>
          </w:p>
        </w:tc>
        <w:tc>
          <w:tcPr>
            <w:tcW w:w="1273" w:type="dxa"/>
            <w:tcBorders>
              <w:top w:val="nil"/>
              <w:left w:val="nil"/>
              <w:bottom w:val="single" w:sz="4" w:space="0" w:color="auto"/>
              <w:right w:val="single" w:sz="4" w:space="0" w:color="auto"/>
            </w:tcBorders>
            <w:shd w:val="clear" w:color="000000" w:fill="E7E6E6"/>
            <w:vAlign w:val="center"/>
            <w:hideMark/>
          </w:tcPr>
          <w:p w14:paraId="23C320D4"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-870</w:t>
            </w:r>
          </w:p>
        </w:tc>
        <w:tc>
          <w:tcPr>
            <w:tcW w:w="1181" w:type="dxa"/>
            <w:tcBorders>
              <w:top w:val="nil"/>
              <w:left w:val="nil"/>
              <w:bottom w:val="single" w:sz="4" w:space="0" w:color="auto"/>
              <w:right w:val="single" w:sz="4" w:space="0" w:color="auto"/>
            </w:tcBorders>
            <w:shd w:val="clear" w:color="000000" w:fill="E7E6E6"/>
            <w:vAlign w:val="center"/>
            <w:hideMark/>
          </w:tcPr>
          <w:p w14:paraId="0FCF20F6" w14:textId="77777777" w:rsidR="009210B8" w:rsidRPr="007E01FD" w:rsidRDefault="009210B8" w:rsidP="009210B8">
            <w:pPr>
              <w:spacing w:after="0" w:line="240" w:lineRule="auto"/>
              <w:jc w:val="right"/>
              <w:rPr>
                <w:rFonts w:cs="Calibri"/>
                <w:b/>
                <w:sz w:val="18"/>
                <w:szCs w:val="18"/>
                <w:lang w:eastAsia="en-AU"/>
              </w:rPr>
            </w:pPr>
            <w:r>
              <w:rPr>
                <w:rFonts w:cs="Calibri"/>
                <w:b/>
                <w:sz w:val="18"/>
                <w:szCs w:val="18"/>
                <w:lang w:eastAsia="en-AU"/>
              </w:rPr>
              <w:t>-</w:t>
            </w:r>
            <w:r w:rsidRPr="007E01FD">
              <w:rPr>
                <w:rFonts w:cs="Calibri"/>
                <w:b/>
                <w:sz w:val="18"/>
                <w:szCs w:val="18"/>
                <w:lang w:eastAsia="en-AU"/>
              </w:rPr>
              <w:t>6%</w:t>
            </w:r>
          </w:p>
        </w:tc>
      </w:tr>
      <w:tr w:rsidR="009210B8" w:rsidRPr="0055027D" w14:paraId="7CE48CF8" w14:textId="77777777" w:rsidTr="009210B8">
        <w:trPr>
          <w:trHeight w:val="290"/>
        </w:trPr>
        <w:tc>
          <w:tcPr>
            <w:tcW w:w="7850" w:type="dxa"/>
            <w:gridSpan w:val="8"/>
            <w:tcBorders>
              <w:top w:val="single" w:sz="4" w:space="0" w:color="auto"/>
              <w:left w:val="single" w:sz="4" w:space="0" w:color="auto"/>
              <w:bottom w:val="single" w:sz="4" w:space="0" w:color="auto"/>
              <w:right w:val="single" w:sz="4" w:space="0" w:color="auto"/>
            </w:tcBorders>
            <w:shd w:val="clear" w:color="000000" w:fill="A6A6A6"/>
            <w:vAlign w:val="center"/>
            <w:hideMark/>
          </w:tcPr>
          <w:p w14:paraId="0D9A8B74" w14:textId="77777777" w:rsidR="009210B8" w:rsidRPr="007E01FD" w:rsidRDefault="009210B8" w:rsidP="009210B8">
            <w:pPr>
              <w:spacing w:after="0" w:line="240" w:lineRule="auto"/>
              <w:rPr>
                <w:rFonts w:cs="Calibri"/>
                <w:b/>
                <w:sz w:val="18"/>
                <w:szCs w:val="18"/>
                <w:lang w:eastAsia="en-AU"/>
              </w:rPr>
            </w:pPr>
            <w:r>
              <w:rPr>
                <w:rFonts w:cs="Calibri"/>
                <w:b/>
                <w:sz w:val="18"/>
                <w:szCs w:val="18"/>
                <w:lang w:eastAsia="en-AU"/>
              </w:rPr>
              <w:t>Uterine</w:t>
            </w:r>
            <w:r w:rsidRPr="007E01FD">
              <w:rPr>
                <w:rFonts w:cs="Calibri"/>
                <w:b/>
                <w:sz w:val="18"/>
                <w:szCs w:val="18"/>
                <w:lang w:eastAsia="en-AU"/>
              </w:rPr>
              <w:t xml:space="preserve"> cancer</w:t>
            </w:r>
            <w:r>
              <w:rPr>
                <w:rStyle w:val="FootnoteReference"/>
                <w:rFonts w:cs="Calibri"/>
                <w:b/>
                <w:sz w:val="18"/>
                <w:szCs w:val="18"/>
                <w:lang w:eastAsia="en-AU"/>
              </w:rPr>
              <w:footnoteReference w:id="38"/>
            </w:r>
          </w:p>
        </w:tc>
      </w:tr>
      <w:tr w:rsidR="009210B8" w:rsidRPr="0055027D" w14:paraId="4594A41A"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7011042" w14:textId="77777777" w:rsidR="009210B8" w:rsidRPr="007E01FD" w:rsidRDefault="009210B8" w:rsidP="009210B8">
            <w:pPr>
              <w:spacing w:after="0" w:line="240" w:lineRule="auto"/>
              <w:rPr>
                <w:rFonts w:cs="Calibri"/>
                <w:b/>
                <w:sz w:val="18"/>
                <w:szCs w:val="18"/>
                <w:lang w:eastAsia="en-AU"/>
              </w:rPr>
            </w:pPr>
            <w:r>
              <w:rPr>
                <w:rFonts w:cs="Calibri"/>
                <w:b/>
                <w:sz w:val="18"/>
                <w:szCs w:val="18"/>
                <w:lang w:eastAsia="en-AU"/>
              </w:rPr>
              <w:t>NSW/ACT</w:t>
            </w:r>
          </w:p>
        </w:tc>
        <w:tc>
          <w:tcPr>
            <w:tcW w:w="1417" w:type="dxa"/>
            <w:tcBorders>
              <w:top w:val="nil"/>
              <w:left w:val="nil"/>
              <w:bottom w:val="single" w:sz="4" w:space="0" w:color="auto"/>
              <w:right w:val="single" w:sz="4" w:space="0" w:color="auto"/>
            </w:tcBorders>
            <w:shd w:val="clear" w:color="auto" w:fill="auto"/>
            <w:vAlign w:val="center"/>
            <w:hideMark/>
          </w:tcPr>
          <w:p w14:paraId="2ED9B215"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2,644</w:t>
            </w:r>
          </w:p>
        </w:tc>
        <w:tc>
          <w:tcPr>
            <w:tcW w:w="1562" w:type="dxa"/>
            <w:tcBorders>
              <w:top w:val="nil"/>
              <w:left w:val="nil"/>
              <w:bottom w:val="single" w:sz="4" w:space="0" w:color="auto"/>
              <w:right w:val="single" w:sz="4" w:space="0" w:color="auto"/>
            </w:tcBorders>
            <w:shd w:val="clear" w:color="auto" w:fill="auto"/>
            <w:vAlign w:val="center"/>
            <w:hideMark/>
          </w:tcPr>
          <w:p w14:paraId="70919E00"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2,570</w:t>
            </w:r>
          </w:p>
        </w:tc>
        <w:tc>
          <w:tcPr>
            <w:tcW w:w="990" w:type="dxa"/>
            <w:tcBorders>
              <w:top w:val="nil"/>
              <w:left w:val="nil"/>
              <w:bottom w:val="single" w:sz="4" w:space="0" w:color="auto"/>
              <w:right w:val="single" w:sz="4" w:space="0" w:color="auto"/>
            </w:tcBorders>
            <w:shd w:val="clear" w:color="auto" w:fill="auto"/>
            <w:vAlign w:val="center"/>
            <w:hideMark/>
          </w:tcPr>
          <w:p w14:paraId="1D67660E"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1.03</w:t>
            </w:r>
          </w:p>
        </w:tc>
        <w:tc>
          <w:tcPr>
            <w:tcW w:w="1273" w:type="dxa"/>
            <w:tcBorders>
              <w:top w:val="nil"/>
              <w:left w:val="nil"/>
              <w:bottom w:val="single" w:sz="4" w:space="0" w:color="auto"/>
              <w:right w:val="single" w:sz="4" w:space="0" w:color="auto"/>
            </w:tcBorders>
            <w:shd w:val="clear" w:color="auto" w:fill="auto"/>
            <w:vAlign w:val="center"/>
            <w:hideMark/>
          </w:tcPr>
          <w:p w14:paraId="22C2EAE6"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74</w:t>
            </w:r>
          </w:p>
        </w:tc>
        <w:tc>
          <w:tcPr>
            <w:tcW w:w="1181" w:type="dxa"/>
            <w:tcBorders>
              <w:top w:val="nil"/>
              <w:left w:val="nil"/>
              <w:bottom w:val="single" w:sz="4" w:space="0" w:color="auto"/>
              <w:right w:val="single" w:sz="4" w:space="0" w:color="auto"/>
            </w:tcBorders>
            <w:shd w:val="clear" w:color="auto" w:fill="auto"/>
            <w:vAlign w:val="center"/>
            <w:hideMark/>
          </w:tcPr>
          <w:p w14:paraId="2ABA3BCB"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3%</w:t>
            </w:r>
          </w:p>
        </w:tc>
      </w:tr>
      <w:tr w:rsidR="009210B8" w:rsidRPr="0055027D" w14:paraId="490863DE"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2684C9D" w14:textId="77777777" w:rsidR="009210B8" w:rsidRPr="007E01FD" w:rsidRDefault="009210B8" w:rsidP="009210B8">
            <w:pPr>
              <w:spacing w:after="0" w:line="240" w:lineRule="auto"/>
              <w:rPr>
                <w:rFonts w:cs="Calibri"/>
                <w:b/>
                <w:sz w:val="18"/>
                <w:szCs w:val="18"/>
                <w:lang w:eastAsia="en-AU"/>
              </w:rPr>
            </w:pPr>
            <w:r>
              <w:rPr>
                <w:rFonts w:cs="Calibri"/>
                <w:b/>
                <w:sz w:val="18"/>
                <w:szCs w:val="18"/>
                <w:lang w:eastAsia="en-AU"/>
              </w:rPr>
              <w:t>VIC/TAS</w:t>
            </w:r>
          </w:p>
        </w:tc>
        <w:tc>
          <w:tcPr>
            <w:tcW w:w="1417" w:type="dxa"/>
            <w:tcBorders>
              <w:top w:val="nil"/>
              <w:left w:val="nil"/>
              <w:bottom w:val="single" w:sz="4" w:space="0" w:color="auto"/>
              <w:right w:val="single" w:sz="4" w:space="0" w:color="auto"/>
            </w:tcBorders>
            <w:shd w:val="clear" w:color="auto" w:fill="auto"/>
            <w:vAlign w:val="center"/>
            <w:hideMark/>
          </w:tcPr>
          <w:p w14:paraId="265014B4"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2,231</w:t>
            </w:r>
          </w:p>
        </w:tc>
        <w:tc>
          <w:tcPr>
            <w:tcW w:w="1562" w:type="dxa"/>
            <w:tcBorders>
              <w:top w:val="nil"/>
              <w:left w:val="nil"/>
              <w:bottom w:val="single" w:sz="4" w:space="0" w:color="auto"/>
              <w:right w:val="single" w:sz="4" w:space="0" w:color="auto"/>
            </w:tcBorders>
            <w:shd w:val="clear" w:color="auto" w:fill="auto"/>
            <w:vAlign w:val="center"/>
            <w:hideMark/>
          </w:tcPr>
          <w:p w14:paraId="693705FE"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2,317</w:t>
            </w:r>
          </w:p>
        </w:tc>
        <w:tc>
          <w:tcPr>
            <w:tcW w:w="990" w:type="dxa"/>
            <w:tcBorders>
              <w:top w:val="nil"/>
              <w:left w:val="nil"/>
              <w:bottom w:val="single" w:sz="4" w:space="0" w:color="auto"/>
              <w:right w:val="single" w:sz="4" w:space="0" w:color="auto"/>
            </w:tcBorders>
            <w:shd w:val="clear" w:color="auto" w:fill="auto"/>
            <w:vAlign w:val="center"/>
            <w:hideMark/>
          </w:tcPr>
          <w:p w14:paraId="7EEDE1D9"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0.96</w:t>
            </w:r>
          </w:p>
        </w:tc>
        <w:tc>
          <w:tcPr>
            <w:tcW w:w="1273" w:type="dxa"/>
            <w:tcBorders>
              <w:top w:val="nil"/>
              <w:left w:val="nil"/>
              <w:bottom w:val="single" w:sz="4" w:space="0" w:color="auto"/>
              <w:right w:val="single" w:sz="4" w:space="0" w:color="auto"/>
            </w:tcBorders>
            <w:shd w:val="clear" w:color="auto" w:fill="auto"/>
            <w:vAlign w:val="center"/>
            <w:hideMark/>
          </w:tcPr>
          <w:p w14:paraId="06FE3659"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-86</w:t>
            </w:r>
          </w:p>
        </w:tc>
        <w:tc>
          <w:tcPr>
            <w:tcW w:w="1181" w:type="dxa"/>
            <w:tcBorders>
              <w:top w:val="nil"/>
              <w:left w:val="nil"/>
              <w:bottom w:val="single" w:sz="4" w:space="0" w:color="auto"/>
              <w:right w:val="single" w:sz="4" w:space="0" w:color="auto"/>
            </w:tcBorders>
            <w:shd w:val="clear" w:color="auto" w:fill="auto"/>
            <w:vAlign w:val="center"/>
            <w:hideMark/>
          </w:tcPr>
          <w:p w14:paraId="6177B930"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4%</w:t>
            </w:r>
          </w:p>
        </w:tc>
      </w:tr>
      <w:tr w:rsidR="009210B8" w:rsidRPr="0055027D" w14:paraId="2C0936B5"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1EC1809"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QLD</w:t>
            </w:r>
          </w:p>
        </w:tc>
        <w:tc>
          <w:tcPr>
            <w:tcW w:w="1417" w:type="dxa"/>
            <w:tcBorders>
              <w:top w:val="nil"/>
              <w:left w:val="nil"/>
              <w:bottom w:val="single" w:sz="4" w:space="0" w:color="auto"/>
              <w:right w:val="single" w:sz="4" w:space="0" w:color="auto"/>
            </w:tcBorders>
            <w:shd w:val="clear" w:color="auto" w:fill="auto"/>
            <w:vAlign w:val="center"/>
            <w:hideMark/>
          </w:tcPr>
          <w:p w14:paraId="3962E9B0"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2,396</w:t>
            </w:r>
          </w:p>
        </w:tc>
        <w:tc>
          <w:tcPr>
            <w:tcW w:w="1562" w:type="dxa"/>
            <w:tcBorders>
              <w:top w:val="nil"/>
              <w:left w:val="nil"/>
              <w:bottom w:val="single" w:sz="4" w:space="0" w:color="auto"/>
              <w:right w:val="single" w:sz="4" w:space="0" w:color="auto"/>
            </w:tcBorders>
            <w:shd w:val="clear" w:color="auto" w:fill="auto"/>
            <w:vAlign w:val="center"/>
            <w:hideMark/>
          </w:tcPr>
          <w:p w14:paraId="22ABC54E"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2,316</w:t>
            </w:r>
          </w:p>
        </w:tc>
        <w:tc>
          <w:tcPr>
            <w:tcW w:w="990" w:type="dxa"/>
            <w:tcBorders>
              <w:top w:val="nil"/>
              <w:left w:val="nil"/>
              <w:bottom w:val="single" w:sz="4" w:space="0" w:color="auto"/>
              <w:right w:val="single" w:sz="4" w:space="0" w:color="auto"/>
            </w:tcBorders>
            <w:shd w:val="clear" w:color="auto" w:fill="auto"/>
            <w:vAlign w:val="center"/>
            <w:hideMark/>
          </w:tcPr>
          <w:p w14:paraId="32BCF5F0"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1.03</w:t>
            </w:r>
          </w:p>
        </w:tc>
        <w:tc>
          <w:tcPr>
            <w:tcW w:w="1273" w:type="dxa"/>
            <w:tcBorders>
              <w:top w:val="nil"/>
              <w:left w:val="nil"/>
              <w:bottom w:val="single" w:sz="4" w:space="0" w:color="auto"/>
              <w:right w:val="single" w:sz="4" w:space="0" w:color="auto"/>
            </w:tcBorders>
            <w:shd w:val="clear" w:color="auto" w:fill="auto"/>
            <w:vAlign w:val="center"/>
            <w:hideMark/>
          </w:tcPr>
          <w:p w14:paraId="1633BF4C"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80</w:t>
            </w:r>
          </w:p>
        </w:tc>
        <w:tc>
          <w:tcPr>
            <w:tcW w:w="1181" w:type="dxa"/>
            <w:tcBorders>
              <w:top w:val="nil"/>
              <w:left w:val="nil"/>
              <w:bottom w:val="single" w:sz="4" w:space="0" w:color="auto"/>
              <w:right w:val="single" w:sz="4" w:space="0" w:color="auto"/>
            </w:tcBorders>
            <w:shd w:val="clear" w:color="auto" w:fill="auto"/>
            <w:vAlign w:val="center"/>
            <w:hideMark/>
          </w:tcPr>
          <w:p w14:paraId="5A3E888C"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3%</w:t>
            </w:r>
          </w:p>
        </w:tc>
      </w:tr>
      <w:tr w:rsidR="009210B8" w:rsidRPr="0055027D" w14:paraId="66AB128E"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8847B0B" w14:textId="77777777" w:rsidR="009210B8" w:rsidRPr="007E01FD" w:rsidRDefault="009210B8" w:rsidP="009210B8">
            <w:pPr>
              <w:spacing w:after="0" w:line="240" w:lineRule="auto"/>
              <w:rPr>
                <w:rFonts w:cs="Calibri"/>
                <w:b/>
                <w:sz w:val="18"/>
                <w:szCs w:val="18"/>
                <w:lang w:eastAsia="en-AU"/>
              </w:rPr>
            </w:pPr>
            <w:r>
              <w:rPr>
                <w:rFonts w:cs="Calibri"/>
                <w:b/>
                <w:sz w:val="18"/>
                <w:szCs w:val="18"/>
                <w:lang w:eastAsia="en-AU"/>
              </w:rPr>
              <w:t>SA/NT</w:t>
            </w:r>
          </w:p>
        </w:tc>
        <w:tc>
          <w:tcPr>
            <w:tcW w:w="1417" w:type="dxa"/>
            <w:tcBorders>
              <w:top w:val="nil"/>
              <w:left w:val="nil"/>
              <w:bottom w:val="single" w:sz="4" w:space="0" w:color="auto"/>
              <w:right w:val="single" w:sz="4" w:space="0" w:color="auto"/>
            </w:tcBorders>
            <w:shd w:val="clear" w:color="auto" w:fill="auto"/>
            <w:vAlign w:val="center"/>
            <w:hideMark/>
          </w:tcPr>
          <w:p w14:paraId="0D71452B"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650</w:t>
            </w:r>
          </w:p>
        </w:tc>
        <w:tc>
          <w:tcPr>
            <w:tcW w:w="1562" w:type="dxa"/>
            <w:tcBorders>
              <w:top w:val="nil"/>
              <w:left w:val="nil"/>
              <w:bottom w:val="single" w:sz="4" w:space="0" w:color="auto"/>
              <w:right w:val="single" w:sz="4" w:space="0" w:color="auto"/>
            </w:tcBorders>
            <w:shd w:val="clear" w:color="auto" w:fill="auto"/>
            <w:vAlign w:val="center"/>
            <w:hideMark/>
          </w:tcPr>
          <w:p w14:paraId="4D7732F3"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586</w:t>
            </w:r>
          </w:p>
        </w:tc>
        <w:tc>
          <w:tcPr>
            <w:tcW w:w="990" w:type="dxa"/>
            <w:tcBorders>
              <w:top w:val="nil"/>
              <w:left w:val="nil"/>
              <w:bottom w:val="single" w:sz="4" w:space="0" w:color="auto"/>
              <w:right w:val="single" w:sz="4" w:space="0" w:color="auto"/>
            </w:tcBorders>
            <w:shd w:val="clear" w:color="auto" w:fill="auto"/>
            <w:vAlign w:val="center"/>
            <w:hideMark/>
          </w:tcPr>
          <w:p w14:paraId="70EA742F"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1.11</w:t>
            </w:r>
          </w:p>
        </w:tc>
        <w:tc>
          <w:tcPr>
            <w:tcW w:w="1273" w:type="dxa"/>
            <w:tcBorders>
              <w:top w:val="nil"/>
              <w:left w:val="nil"/>
              <w:bottom w:val="single" w:sz="4" w:space="0" w:color="auto"/>
              <w:right w:val="single" w:sz="4" w:space="0" w:color="auto"/>
            </w:tcBorders>
            <w:shd w:val="clear" w:color="auto" w:fill="auto"/>
            <w:vAlign w:val="center"/>
            <w:hideMark/>
          </w:tcPr>
          <w:p w14:paraId="6D781C18"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64</w:t>
            </w:r>
          </w:p>
        </w:tc>
        <w:tc>
          <w:tcPr>
            <w:tcW w:w="1181" w:type="dxa"/>
            <w:tcBorders>
              <w:top w:val="nil"/>
              <w:left w:val="nil"/>
              <w:bottom w:val="single" w:sz="4" w:space="0" w:color="auto"/>
              <w:right w:val="single" w:sz="4" w:space="0" w:color="auto"/>
            </w:tcBorders>
            <w:shd w:val="clear" w:color="auto" w:fill="auto"/>
            <w:vAlign w:val="center"/>
            <w:hideMark/>
          </w:tcPr>
          <w:p w14:paraId="33DAA9A6"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11%</w:t>
            </w:r>
          </w:p>
        </w:tc>
      </w:tr>
      <w:tr w:rsidR="009210B8" w:rsidRPr="0055027D" w14:paraId="51CCAB5C"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BF3B5D7"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WA</w:t>
            </w:r>
          </w:p>
        </w:tc>
        <w:tc>
          <w:tcPr>
            <w:tcW w:w="1417" w:type="dxa"/>
            <w:tcBorders>
              <w:top w:val="nil"/>
              <w:left w:val="nil"/>
              <w:bottom w:val="single" w:sz="4" w:space="0" w:color="auto"/>
              <w:right w:val="single" w:sz="4" w:space="0" w:color="auto"/>
            </w:tcBorders>
            <w:shd w:val="clear" w:color="auto" w:fill="auto"/>
            <w:vAlign w:val="center"/>
            <w:hideMark/>
          </w:tcPr>
          <w:p w14:paraId="5F93D44B"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1,427</w:t>
            </w:r>
          </w:p>
        </w:tc>
        <w:tc>
          <w:tcPr>
            <w:tcW w:w="1562" w:type="dxa"/>
            <w:tcBorders>
              <w:top w:val="nil"/>
              <w:left w:val="nil"/>
              <w:bottom w:val="single" w:sz="4" w:space="0" w:color="auto"/>
              <w:right w:val="single" w:sz="4" w:space="0" w:color="auto"/>
            </w:tcBorders>
            <w:shd w:val="clear" w:color="auto" w:fill="auto"/>
            <w:vAlign w:val="center"/>
            <w:hideMark/>
          </w:tcPr>
          <w:p w14:paraId="45441D42"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1,415</w:t>
            </w:r>
          </w:p>
        </w:tc>
        <w:tc>
          <w:tcPr>
            <w:tcW w:w="990" w:type="dxa"/>
            <w:tcBorders>
              <w:top w:val="nil"/>
              <w:left w:val="nil"/>
              <w:bottom w:val="single" w:sz="4" w:space="0" w:color="auto"/>
              <w:right w:val="single" w:sz="4" w:space="0" w:color="auto"/>
            </w:tcBorders>
            <w:shd w:val="clear" w:color="auto" w:fill="auto"/>
            <w:vAlign w:val="center"/>
            <w:hideMark/>
          </w:tcPr>
          <w:p w14:paraId="612348E9"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1.01</w:t>
            </w:r>
          </w:p>
        </w:tc>
        <w:tc>
          <w:tcPr>
            <w:tcW w:w="1273" w:type="dxa"/>
            <w:tcBorders>
              <w:top w:val="nil"/>
              <w:left w:val="nil"/>
              <w:bottom w:val="single" w:sz="4" w:space="0" w:color="auto"/>
              <w:right w:val="single" w:sz="4" w:space="0" w:color="auto"/>
            </w:tcBorders>
            <w:shd w:val="clear" w:color="auto" w:fill="auto"/>
            <w:vAlign w:val="center"/>
            <w:hideMark/>
          </w:tcPr>
          <w:p w14:paraId="21B10DFB"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12</w:t>
            </w:r>
          </w:p>
        </w:tc>
        <w:tc>
          <w:tcPr>
            <w:tcW w:w="1181" w:type="dxa"/>
            <w:tcBorders>
              <w:top w:val="nil"/>
              <w:left w:val="nil"/>
              <w:bottom w:val="single" w:sz="4" w:space="0" w:color="auto"/>
              <w:right w:val="single" w:sz="4" w:space="0" w:color="auto"/>
            </w:tcBorders>
            <w:shd w:val="clear" w:color="auto" w:fill="auto"/>
            <w:vAlign w:val="center"/>
            <w:hideMark/>
          </w:tcPr>
          <w:p w14:paraId="207208EA"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w:t>
            </w:r>
          </w:p>
        </w:tc>
      </w:tr>
      <w:tr w:rsidR="009210B8" w:rsidRPr="0055027D" w14:paraId="6D0975BB" w14:textId="77777777" w:rsidTr="009210B8">
        <w:trPr>
          <w:gridAfter w:val="2"/>
          <w:wAfter w:w="14" w:type="dxa"/>
          <w:trHeight w:val="290"/>
        </w:trPr>
        <w:tc>
          <w:tcPr>
            <w:tcW w:w="1413" w:type="dxa"/>
            <w:tcBorders>
              <w:top w:val="nil"/>
              <w:left w:val="single" w:sz="4" w:space="0" w:color="auto"/>
              <w:bottom w:val="single" w:sz="4" w:space="0" w:color="auto"/>
              <w:right w:val="single" w:sz="4" w:space="0" w:color="auto"/>
            </w:tcBorders>
            <w:shd w:val="clear" w:color="000000" w:fill="E7E6E6"/>
            <w:vAlign w:val="center"/>
            <w:hideMark/>
          </w:tcPr>
          <w:p w14:paraId="33D6C4A9"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Total</w:t>
            </w:r>
          </w:p>
        </w:tc>
        <w:tc>
          <w:tcPr>
            <w:tcW w:w="1417" w:type="dxa"/>
            <w:tcBorders>
              <w:top w:val="nil"/>
              <w:left w:val="nil"/>
              <w:bottom w:val="single" w:sz="4" w:space="0" w:color="auto"/>
              <w:right w:val="single" w:sz="4" w:space="0" w:color="auto"/>
            </w:tcBorders>
            <w:shd w:val="clear" w:color="000000" w:fill="E7E6E6"/>
            <w:vAlign w:val="center"/>
            <w:hideMark/>
          </w:tcPr>
          <w:p w14:paraId="514351DF"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9,348</w:t>
            </w:r>
          </w:p>
        </w:tc>
        <w:tc>
          <w:tcPr>
            <w:tcW w:w="1562" w:type="dxa"/>
            <w:tcBorders>
              <w:top w:val="nil"/>
              <w:left w:val="nil"/>
              <w:bottom w:val="single" w:sz="4" w:space="0" w:color="auto"/>
              <w:right w:val="single" w:sz="4" w:space="0" w:color="auto"/>
            </w:tcBorders>
            <w:shd w:val="clear" w:color="000000" w:fill="E7E6E6"/>
            <w:vAlign w:val="center"/>
            <w:hideMark/>
          </w:tcPr>
          <w:p w14:paraId="1EA8C6FC"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9,204</w:t>
            </w:r>
          </w:p>
        </w:tc>
        <w:tc>
          <w:tcPr>
            <w:tcW w:w="990" w:type="dxa"/>
            <w:tcBorders>
              <w:top w:val="nil"/>
              <w:left w:val="nil"/>
              <w:bottom w:val="single" w:sz="4" w:space="0" w:color="auto"/>
              <w:right w:val="single" w:sz="4" w:space="0" w:color="auto"/>
            </w:tcBorders>
            <w:shd w:val="clear" w:color="000000" w:fill="E7E6E6"/>
            <w:vAlign w:val="center"/>
            <w:hideMark/>
          </w:tcPr>
          <w:p w14:paraId="4BE66566"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1.02</w:t>
            </w:r>
          </w:p>
        </w:tc>
        <w:tc>
          <w:tcPr>
            <w:tcW w:w="1273" w:type="dxa"/>
            <w:tcBorders>
              <w:top w:val="nil"/>
              <w:left w:val="nil"/>
              <w:bottom w:val="single" w:sz="4" w:space="0" w:color="auto"/>
              <w:right w:val="single" w:sz="4" w:space="0" w:color="auto"/>
            </w:tcBorders>
            <w:shd w:val="clear" w:color="000000" w:fill="E7E6E6"/>
            <w:vAlign w:val="center"/>
            <w:hideMark/>
          </w:tcPr>
          <w:p w14:paraId="60CCC834"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144</w:t>
            </w:r>
          </w:p>
        </w:tc>
        <w:tc>
          <w:tcPr>
            <w:tcW w:w="1181" w:type="dxa"/>
            <w:tcBorders>
              <w:top w:val="nil"/>
              <w:left w:val="nil"/>
              <w:bottom w:val="single" w:sz="4" w:space="0" w:color="auto"/>
              <w:right w:val="single" w:sz="4" w:space="0" w:color="auto"/>
            </w:tcBorders>
            <w:shd w:val="clear" w:color="000000" w:fill="E7E6E6"/>
            <w:vAlign w:val="center"/>
            <w:hideMark/>
          </w:tcPr>
          <w:p w14:paraId="2B295E0A"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2%</w:t>
            </w:r>
          </w:p>
        </w:tc>
      </w:tr>
    </w:tbl>
    <w:p w14:paraId="1EF66772" w14:textId="77777777" w:rsidR="009210B8" w:rsidRDefault="009210B8" w:rsidP="009210B8"/>
    <w:p w14:paraId="6DEB3217" w14:textId="77777777" w:rsidR="009210B8" w:rsidRPr="003458B1" w:rsidRDefault="009210B8" w:rsidP="003458B1">
      <w:pPr>
        <w:pStyle w:val="TableName"/>
      </w:pPr>
      <w:r>
        <w:br w:type="page"/>
      </w:r>
      <w:bookmarkStart w:id="202" w:name="_Ref79626257"/>
      <w:bookmarkStart w:id="203" w:name="_Ref79626268"/>
      <w:bookmarkStart w:id="204" w:name="_Toc81991501"/>
      <w:bookmarkStart w:id="205" w:name="_Toc83720975"/>
      <w:r>
        <w:lastRenderedPageBreak/>
        <w:t xml:space="preserve">Table </w:t>
      </w:r>
      <w:bookmarkEnd w:id="202"/>
      <w:r w:rsidR="00A13570">
        <w:t>B2</w:t>
      </w:r>
      <w:r w:rsidR="00742820">
        <w:tab/>
      </w:r>
      <w:r w:rsidRPr="004C5DC1">
        <w:t xml:space="preserve">Annual observed and expected services for cancer-related </w:t>
      </w:r>
      <w:r>
        <w:t>therapeutic procedures</w:t>
      </w:r>
      <w:r w:rsidRPr="00742820">
        <w:footnoteReference w:id="39"/>
      </w:r>
      <w:r w:rsidRPr="004C5DC1">
        <w:t xml:space="preserve"> in 2020, by jurisdiction</w:t>
      </w:r>
      <w:bookmarkEnd w:id="203"/>
      <w:bookmarkEnd w:id="204"/>
      <w:bookmarkEnd w:id="205"/>
    </w:p>
    <w:tbl>
      <w:tblPr>
        <w:tblW w:w="7356" w:type="dxa"/>
        <w:tblLook w:val="04A0" w:firstRow="1" w:lastRow="0" w:firstColumn="1" w:lastColumn="0" w:noHBand="0" w:noVBand="1"/>
      </w:tblPr>
      <w:tblGrid>
        <w:gridCol w:w="1457"/>
        <w:gridCol w:w="1073"/>
        <w:gridCol w:w="1720"/>
        <w:gridCol w:w="861"/>
        <w:gridCol w:w="1052"/>
        <w:gridCol w:w="1187"/>
        <w:gridCol w:w="6"/>
      </w:tblGrid>
      <w:tr w:rsidR="009210B8" w:rsidRPr="0055027D" w14:paraId="2E0454BF" w14:textId="77777777" w:rsidTr="009210B8">
        <w:trPr>
          <w:gridAfter w:val="1"/>
          <w:wAfter w:w="6" w:type="dxa"/>
          <w:trHeight w:val="290"/>
          <w:tblHeader/>
        </w:trPr>
        <w:tc>
          <w:tcPr>
            <w:tcW w:w="1642"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72ED869A" w14:textId="77777777" w:rsidR="009210B8" w:rsidRPr="007E01FD" w:rsidRDefault="009210B8" w:rsidP="009210B8">
            <w:pPr>
              <w:spacing w:after="0" w:line="240" w:lineRule="auto"/>
              <w:jc w:val="center"/>
              <w:rPr>
                <w:rFonts w:cs="Calibri"/>
                <w:b/>
                <w:bCs/>
                <w:color w:val="FFFFFF"/>
                <w:sz w:val="18"/>
                <w:szCs w:val="18"/>
                <w:lang w:eastAsia="en-AU"/>
              </w:rPr>
            </w:pPr>
            <w:r w:rsidRPr="007E01FD">
              <w:rPr>
                <w:rFonts w:cs="Calibri"/>
                <w:b/>
                <w:bCs/>
                <w:color w:val="FFFFFF"/>
                <w:sz w:val="18"/>
                <w:szCs w:val="18"/>
                <w:lang w:eastAsia="en-AU"/>
              </w:rPr>
              <w:t>Cancer type</w:t>
            </w:r>
          </w:p>
        </w:tc>
        <w:tc>
          <w:tcPr>
            <w:tcW w:w="1073"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1D51B1AA" w14:textId="77777777" w:rsidR="009210B8" w:rsidRPr="007E01FD" w:rsidRDefault="009210B8" w:rsidP="009210B8">
            <w:pPr>
              <w:spacing w:after="0" w:line="240" w:lineRule="auto"/>
              <w:jc w:val="center"/>
              <w:rPr>
                <w:rFonts w:cs="Calibri"/>
                <w:b/>
                <w:bCs/>
                <w:color w:val="FFFFFF"/>
                <w:sz w:val="18"/>
                <w:szCs w:val="18"/>
                <w:lang w:eastAsia="en-AU"/>
              </w:rPr>
            </w:pPr>
            <w:r w:rsidRPr="007E01FD">
              <w:rPr>
                <w:rFonts w:cs="Calibri"/>
                <w:b/>
                <w:bCs/>
                <w:color w:val="FFFFFF"/>
                <w:sz w:val="18"/>
                <w:szCs w:val="18"/>
                <w:lang w:eastAsia="en-AU"/>
              </w:rPr>
              <w:t>Observed</w:t>
            </w:r>
          </w:p>
        </w:tc>
        <w:tc>
          <w:tcPr>
            <w:tcW w:w="1350"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62199A00" w14:textId="77777777" w:rsidR="009210B8" w:rsidRPr="007E01FD" w:rsidRDefault="009210B8" w:rsidP="009210B8">
            <w:pPr>
              <w:spacing w:after="0" w:line="240" w:lineRule="auto"/>
              <w:jc w:val="center"/>
              <w:rPr>
                <w:rFonts w:cs="Calibri"/>
                <w:b/>
                <w:bCs/>
                <w:color w:val="FFFFFF"/>
                <w:sz w:val="18"/>
                <w:szCs w:val="18"/>
                <w:lang w:eastAsia="en-AU"/>
              </w:rPr>
            </w:pPr>
            <w:r w:rsidRPr="007E01FD">
              <w:rPr>
                <w:rFonts w:cs="Calibri"/>
                <w:b/>
                <w:bCs/>
                <w:color w:val="FFFFFF"/>
                <w:sz w:val="18"/>
                <w:szCs w:val="18"/>
                <w:lang w:eastAsia="en-AU"/>
              </w:rPr>
              <w:t>Expected</w:t>
            </w:r>
            <w:r>
              <w:rPr>
                <w:rStyle w:val="FootnoteReference"/>
                <w:rFonts w:cs="Calibri"/>
                <w:b/>
                <w:bCs/>
                <w:color w:val="FFFFFF"/>
                <w:sz w:val="18"/>
                <w:szCs w:val="18"/>
                <w:lang w:eastAsia="en-AU"/>
              </w:rPr>
              <w:footnoteReference w:id="40"/>
            </w:r>
          </w:p>
        </w:tc>
        <w:tc>
          <w:tcPr>
            <w:tcW w:w="953"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0B35EAA3" w14:textId="77777777" w:rsidR="009210B8" w:rsidRPr="007E01FD" w:rsidRDefault="009210B8" w:rsidP="009210B8">
            <w:pPr>
              <w:spacing w:after="0" w:line="240" w:lineRule="auto"/>
              <w:jc w:val="center"/>
              <w:rPr>
                <w:rFonts w:cs="Calibri"/>
                <w:b/>
                <w:bCs/>
                <w:color w:val="FFFFFF"/>
                <w:sz w:val="18"/>
                <w:szCs w:val="18"/>
                <w:lang w:eastAsia="en-AU"/>
              </w:rPr>
            </w:pPr>
            <w:r w:rsidRPr="007E01FD">
              <w:rPr>
                <w:rFonts w:cs="Calibri"/>
                <w:b/>
                <w:bCs/>
                <w:color w:val="FFFFFF"/>
                <w:sz w:val="18"/>
                <w:szCs w:val="18"/>
                <w:lang w:eastAsia="en-AU"/>
              </w:rPr>
              <w:t>Ratio</w:t>
            </w:r>
          </w:p>
        </w:tc>
        <w:tc>
          <w:tcPr>
            <w:tcW w:w="2332" w:type="dxa"/>
            <w:gridSpan w:val="2"/>
            <w:tcBorders>
              <w:top w:val="single" w:sz="4" w:space="0" w:color="auto"/>
              <w:left w:val="nil"/>
              <w:bottom w:val="single" w:sz="4" w:space="0" w:color="auto"/>
              <w:right w:val="single" w:sz="4" w:space="0" w:color="auto"/>
            </w:tcBorders>
            <w:shd w:val="clear" w:color="000000" w:fill="808080"/>
            <w:vAlign w:val="center"/>
            <w:hideMark/>
          </w:tcPr>
          <w:p w14:paraId="2E7733A0" w14:textId="77777777" w:rsidR="009210B8" w:rsidRPr="007E01FD" w:rsidRDefault="009210B8" w:rsidP="009210B8">
            <w:pPr>
              <w:spacing w:after="0" w:line="240" w:lineRule="auto"/>
              <w:jc w:val="center"/>
              <w:rPr>
                <w:rFonts w:cs="Calibri"/>
                <w:b/>
                <w:bCs/>
                <w:color w:val="FFFFFF"/>
                <w:sz w:val="18"/>
                <w:szCs w:val="18"/>
                <w:lang w:eastAsia="en-AU"/>
              </w:rPr>
            </w:pPr>
            <w:r w:rsidRPr="007E01FD">
              <w:rPr>
                <w:rFonts w:cs="Calibri"/>
                <w:b/>
                <w:bCs/>
                <w:color w:val="FFFFFF"/>
                <w:sz w:val="18"/>
                <w:szCs w:val="18"/>
                <w:lang w:eastAsia="en-AU"/>
              </w:rPr>
              <w:t>Difference</w:t>
            </w:r>
          </w:p>
        </w:tc>
      </w:tr>
      <w:tr w:rsidR="009210B8" w:rsidRPr="0055027D" w14:paraId="3A0A7ACA" w14:textId="77777777" w:rsidTr="009210B8">
        <w:trPr>
          <w:gridAfter w:val="1"/>
          <w:wAfter w:w="6" w:type="dxa"/>
          <w:trHeight w:val="480"/>
          <w:tblHeader/>
        </w:trPr>
        <w:tc>
          <w:tcPr>
            <w:tcW w:w="1642" w:type="dxa"/>
            <w:vMerge/>
            <w:tcBorders>
              <w:top w:val="single" w:sz="4" w:space="0" w:color="auto"/>
              <w:left w:val="single" w:sz="4" w:space="0" w:color="auto"/>
              <w:bottom w:val="single" w:sz="4" w:space="0" w:color="auto"/>
              <w:right w:val="single" w:sz="4" w:space="0" w:color="auto"/>
            </w:tcBorders>
            <w:vAlign w:val="center"/>
            <w:hideMark/>
          </w:tcPr>
          <w:p w14:paraId="7733F222" w14:textId="77777777" w:rsidR="009210B8" w:rsidRPr="007E01FD" w:rsidRDefault="009210B8" w:rsidP="009210B8">
            <w:pPr>
              <w:spacing w:after="0" w:line="240" w:lineRule="auto"/>
              <w:rPr>
                <w:rFonts w:cs="Calibri"/>
                <w:b/>
                <w:bCs/>
                <w:color w:val="FFFFFF"/>
                <w:sz w:val="18"/>
                <w:szCs w:val="18"/>
                <w:lang w:eastAsia="en-AU"/>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1EDCFEE2" w14:textId="77777777" w:rsidR="009210B8" w:rsidRPr="007E01FD" w:rsidRDefault="009210B8" w:rsidP="009210B8">
            <w:pPr>
              <w:spacing w:after="0" w:line="240" w:lineRule="auto"/>
              <w:rPr>
                <w:rFonts w:cs="Calibri"/>
                <w:b/>
                <w:bCs/>
                <w:color w:val="FFFFFF"/>
                <w:sz w:val="18"/>
                <w:szCs w:val="18"/>
                <w:lang w:eastAsia="en-AU"/>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1F2AF9BF" w14:textId="77777777" w:rsidR="009210B8" w:rsidRPr="007E01FD" w:rsidRDefault="009210B8" w:rsidP="009210B8">
            <w:pPr>
              <w:spacing w:after="0" w:line="240" w:lineRule="auto"/>
              <w:rPr>
                <w:rFonts w:cs="Calibri"/>
                <w:b/>
                <w:bCs/>
                <w:color w:val="FFFFFF"/>
                <w:sz w:val="18"/>
                <w:szCs w:val="18"/>
                <w:lang w:eastAsia="en-AU"/>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14:paraId="4EBBDF77" w14:textId="77777777" w:rsidR="009210B8" w:rsidRPr="007E01FD" w:rsidRDefault="009210B8" w:rsidP="009210B8">
            <w:pPr>
              <w:spacing w:after="0" w:line="240" w:lineRule="auto"/>
              <w:rPr>
                <w:rFonts w:cs="Calibri"/>
                <w:b/>
                <w:bCs/>
                <w:color w:val="FFFFFF"/>
                <w:sz w:val="18"/>
                <w:szCs w:val="18"/>
                <w:lang w:eastAsia="en-AU"/>
              </w:rPr>
            </w:pPr>
          </w:p>
        </w:tc>
        <w:tc>
          <w:tcPr>
            <w:tcW w:w="1109" w:type="dxa"/>
            <w:tcBorders>
              <w:top w:val="nil"/>
              <w:left w:val="nil"/>
              <w:bottom w:val="single" w:sz="4" w:space="0" w:color="auto"/>
              <w:right w:val="single" w:sz="4" w:space="0" w:color="auto"/>
            </w:tcBorders>
            <w:shd w:val="clear" w:color="000000" w:fill="808080"/>
            <w:vAlign w:val="center"/>
            <w:hideMark/>
          </w:tcPr>
          <w:p w14:paraId="1878B239" w14:textId="77777777" w:rsidR="009210B8" w:rsidRPr="007E01FD" w:rsidRDefault="009210B8" w:rsidP="009210B8">
            <w:pPr>
              <w:spacing w:after="0" w:line="240" w:lineRule="auto"/>
              <w:rPr>
                <w:rFonts w:cs="Calibri"/>
                <w:b/>
                <w:bCs/>
                <w:color w:val="FFFFFF"/>
                <w:sz w:val="18"/>
                <w:szCs w:val="18"/>
                <w:lang w:eastAsia="en-AU"/>
              </w:rPr>
            </w:pPr>
            <w:r w:rsidRPr="007E01FD">
              <w:rPr>
                <w:rFonts w:cs="Calibri"/>
                <w:b/>
                <w:bCs/>
                <w:color w:val="FFFFFF"/>
                <w:sz w:val="18"/>
                <w:szCs w:val="18"/>
                <w:lang w:eastAsia="en-AU"/>
              </w:rPr>
              <w:t>Number of services</w:t>
            </w:r>
          </w:p>
        </w:tc>
        <w:tc>
          <w:tcPr>
            <w:tcW w:w="1223" w:type="dxa"/>
            <w:tcBorders>
              <w:top w:val="nil"/>
              <w:left w:val="nil"/>
              <w:bottom w:val="single" w:sz="4" w:space="0" w:color="auto"/>
              <w:right w:val="single" w:sz="4" w:space="0" w:color="auto"/>
            </w:tcBorders>
            <w:shd w:val="clear" w:color="000000" w:fill="808080"/>
            <w:vAlign w:val="center"/>
            <w:hideMark/>
          </w:tcPr>
          <w:p w14:paraId="6959EDF3" w14:textId="77777777" w:rsidR="009210B8" w:rsidRPr="007E01FD" w:rsidRDefault="009210B8" w:rsidP="009210B8">
            <w:pPr>
              <w:spacing w:after="0" w:line="240" w:lineRule="auto"/>
              <w:rPr>
                <w:rFonts w:cs="Calibri"/>
                <w:b/>
                <w:bCs/>
                <w:color w:val="FFFFFF"/>
                <w:sz w:val="18"/>
                <w:szCs w:val="18"/>
                <w:lang w:eastAsia="en-AU"/>
              </w:rPr>
            </w:pPr>
            <w:r w:rsidRPr="007E01FD">
              <w:rPr>
                <w:rFonts w:cs="Calibri"/>
                <w:b/>
                <w:bCs/>
                <w:color w:val="FFFFFF"/>
                <w:sz w:val="18"/>
                <w:szCs w:val="18"/>
                <w:lang w:eastAsia="en-AU"/>
              </w:rPr>
              <w:t>% difference</w:t>
            </w:r>
          </w:p>
        </w:tc>
      </w:tr>
      <w:tr w:rsidR="009210B8" w:rsidRPr="0055027D" w14:paraId="33049C22" w14:textId="77777777" w:rsidTr="009210B8">
        <w:trPr>
          <w:trHeight w:val="290"/>
        </w:trPr>
        <w:tc>
          <w:tcPr>
            <w:tcW w:w="7356" w:type="dxa"/>
            <w:gridSpan w:val="7"/>
            <w:tcBorders>
              <w:top w:val="single" w:sz="4" w:space="0" w:color="auto"/>
              <w:left w:val="single" w:sz="4" w:space="0" w:color="auto"/>
              <w:bottom w:val="single" w:sz="4" w:space="0" w:color="auto"/>
              <w:right w:val="single" w:sz="4" w:space="0" w:color="auto"/>
            </w:tcBorders>
            <w:shd w:val="clear" w:color="000000" w:fill="A6A6A6"/>
            <w:vAlign w:val="center"/>
            <w:hideMark/>
          </w:tcPr>
          <w:p w14:paraId="3F15665C"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Breast cancer</w:t>
            </w:r>
          </w:p>
        </w:tc>
      </w:tr>
      <w:tr w:rsidR="009210B8" w:rsidRPr="0055027D" w14:paraId="2FE048BC"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52E68D7B"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NSW/ACT</w:t>
            </w:r>
          </w:p>
        </w:tc>
        <w:tc>
          <w:tcPr>
            <w:tcW w:w="1073" w:type="dxa"/>
            <w:tcBorders>
              <w:top w:val="nil"/>
              <w:left w:val="nil"/>
              <w:bottom w:val="single" w:sz="4" w:space="0" w:color="auto"/>
              <w:right w:val="single" w:sz="4" w:space="0" w:color="auto"/>
            </w:tcBorders>
            <w:shd w:val="clear" w:color="auto" w:fill="auto"/>
            <w:vAlign w:val="center"/>
            <w:hideMark/>
          </w:tcPr>
          <w:p w14:paraId="71CE8C4F"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5,551</w:t>
            </w:r>
          </w:p>
        </w:tc>
        <w:tc>
          <w:tcPr>
            <w:tcW w:w="1350" w:type="dxa"/>
            <w:tcBorders>
              <w:top w:val="nil"/>
              <w:left w:val="nil"/>
              <w:bottom w:val="single" w:sz="4" w:space="0" w:color="auto"/>
              <w:right w:val="single" w:sz="4" w:space="0" w:color="auto"/>
            </w:tcBorders>
            <w:shd w:val="clear" w:color="auto" w:fill="auto"/>
            <w:vAlign w:val="center"/>
            <w:hideMark/>
          </w:tcPr>
          <w:p w14:paraId="1BE9B0BB"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5,865</w:t>
            </w:r>
          </w:p>
        </w:tc>
        <w:tc>
          <w:tcPr>
            <w:tcW w:w="953" w:type="dxa"/>
            <w:tcBorders>
              <w:top w:val="nil"/>
              <w:left w:val="nil"/>
              <w:bottom w:val="single" w:sz="4" w:space="0" w:color="auto"/>
              <w:right w:val="single" w:sz="4" w:space="0" w:color="auto"/>
            </w:tcBorders>
            <w:shd w:val="clear" w:color="auto" w:fill="auto"/>
            <w:vAlign w:val="center"/>
            <w:hideMark/>
          </w:tcPr>
          <w:p w14:paraId="6F2DBD7D"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0.9</w:t>
            </w:r>
            <w:r>
              <w:rPr>
                <w:rFonts w:cs="Calibri"/>
                <w:sz w:val="18"/>
                <w:szCs w:val="18"/>
                <w:lang w:eastAsia="en-AU"/>
              </w:rPr>
              <w:t>5</w:t>
            </w:r>
          </w:p>
        </w:tc>
        <w:tc>
          <w:tcPr>
            <w:tcW w:w="1109" w:type="dxa"/>
            <w:tcBorders>
              <w:top w:val="nil"/>
              <w:left w:val="nil"/>
              <w:bottom w:val="single" w:sz="4" w:space="0" w:color="auto"/>
              <w:right w:val="single" w:sz="4" w:space="0" w:color="auto"/>
            </w:tcBorders>
            <w:shd w:val="clear" w:color="auto" w:fill="auto"/>
            <w:vAlign w:val="center"/>
            <w:hideMark/>
          </w:tcPr>
          <w:p w14:paraId="48CB5028"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-314</w:t>
            </w:r>
          </w:p>
        </w:tc>
        <w:tc>
          <w:tcPr>
            <w:tcW w:w="1223" w:type="dxa"/>
            <w:tcBorders>
              <w:top w:val="nil"/>
              <w:left w:val="nil"/>
              <w:bottom w:val="single" w:sz="4" w:space="0" w:color="auto"/>
              <w:right w:val="single" w:sz="4" w:space="0" w:color="auto"/>
            </w:tcBorders>
            <w:shd w:val="clear" w:color="auto" w:fill="auto"/>
            <w:vAlign w:val="center"/>
            <w:hideMark/>
          </w:tcPr>
          <w:p w14:paraId="3ACEF02A"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5%</w:t>
            </w:r>
          </w:p>
        </w:tc>
      </w:tr>
      <w:tr w:rsidR="009210B8" w:rsidRPr="0055027D" w14:paraId="314BBB6C"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4A532718"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VIC/TAS</w:t>
            </w:r>
          </w:p>
        </w:tc>
        <w:tc>
          <w:tcPr>
            <w:tcW w:w="1073" w:type="dxa"/>
            <w:tcBorders>
              <w:top w:val="nil"/>
              <w:left w:val="nil"/>
              <w:bottom w:val="single" w:sz="4" w:space="0" w:color="auto"/>
              <w:right w:val="single" w:sz="4" w:space="0" w:color="auto"/>
            </w:tcBorders>
            <w:shd w:val="clear" w:color="auto" w:fill="auto"/>
            <w:vAlign w:val="center"/>
            <w:hideMark/>
          </w:tcPr>
          <w:p w14:paraId="730F928A"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3,762</w:t>
            </w:r>
          </w:p>
        </w:tc>
        <w:tc>
          <w:tcPr>
            <w:tcW w:w="1350" w:type="dxa"/>
            <w:tcBorders>
              <w:top w:val="nil"/>
              <w:left w:val="nil"/>
              <w:bottom w:val="single" w:sz="4" w:space="0" w:color="auto"/>
              <w:right w:val="single" w:sz="4" w:space="0" w:color="auto"/>
            </w:tcBorders>
            <w:shd w:val="clear" w:color="auto" w:fill="auto"/>
            <w:vAlign w:val="center"/>
            <w:hideMark/>
          </w:tcPr>
          <w:p w14:paraId="3775BBA2"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4,456</w:t>
            </w:r>
          </w:p>
        </w:tc>
        <w:tc>
          <w:tcPr>
            <w:tcW w:w="953" w:type="dxa"/>
            <w:tcBorders>
              <w:top w:val="nil"/>
              <w:left w:val="nil"/>
              <w:bottom w:val="single" w:sz="4" w:space="0" w:color="auto"/>
              <w:right w:val="single" w:sz="4" w:space="0" w:color="auto"/>
            </w:tcBorders>
            <w:shd w:val="clear" w:color="auto" w:fill="auto"/>
            <w:vAlign w:val="center"/>
            <w:hideMark/>
          </w:tcPr>
          <w:p w14:paraId="3AAC074D"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0.84</w:t>
            </w:r>
          </w:p>
        </w:tc>
        <w:tc>
          <w:tcPr>
            <w:tcW w:w="1109" w:type="dxa"/>
            <w:tcBorders>
              <w:top w:val="nil"/>
              <w:left w:val="nil"/>
              <w:bottom w:val="single" w:sz="4" w:space="0" w:color="auto"/>
              <w:right w:val="single" w:sz="4" w:space="0" w:color="auto"/>
            </w:tcBorders>
            <w:shd w:val="clear" w:color="auto" w:fill="auto"/>
            <w:vAlign w:val="center"/>
            <w:hideMark/>
          </w:tcPr>
          <w:p w14:paraId="74A0D974"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-694</w:t>
            </w:r>
          </w:p>
        </w:tc>
        <w:tc>
          <w:tcPr>
            <w:tcW w:w="1223" w:type="dxa"/>
            <w:tcBorders>
              <w:top w:val="nil"/>
              <w:left w:val="nil"/>
              <w:bottom w:val="single" w:sz="4" w:space="0" w:color="auto"/>
              <w:right w:val="single" w:sz="4" w:space="0" w:color="auto"/>
            </w:tcBorders>
            <w:shd w:val="clear" w:color="auto" w:fill="auto"/>
            <w:vAlign w:val="center"/>
            <w:hideMark/>
          </w:tcPr>
          <w:p w14:paraId="59C33817"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16%</w:t>
            </w:r>
          </w:p>
        </w:tc>
      </w:tr>
      <w:tr w:rsidR="009210B8" w:rsidRPr="0055027D" w14:paraId="3CCB79AC"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4161FBBF"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QLD</w:t>
            </w:r>
          </w:p>
        </w:tc>
        <w:tc>
          <w:tcPr>
            <w:tcW w:w="1073" w:type="dxa"/>
            <w:tcBorders>
              <w:top w:val="nil"/>
              <w:left w:val="nil"/>
              <w:bottom w:val="single" w:sz="4" w:space="0" w:color="auto"/>
              <w:right w:val="single" w:sz="4" w:space="0" w:color="auto"/>
            </w:tcBorders>
            <w:shd w:val="clear" w:color="auto" w:fill="auto"/>
            <w:vAlign w:val="center"/>
            <w:hideMark/>
          </w:tcPr>
          <w:p w14:paraId="67039C3C"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3,350</w:t>
            </w:r>
          </w:p>
        </w:tc>
        <w:tc>
          <w:tcPr>
            <w:tcW w:w="1350" w:type="dxa"/>
            <w:tcBorders>
              <w:top w:val="nil"/>
              <w:left w:val="nil"/>
              <w:bottom w:val="single" w:sz="4" w:space="0" w:color="auto"/>
              <w:right w:val="single" w:sz="4" w:space="0" w:color="auto"/>
            </w:tcBorders>
            <w:shd w:val="clear" w:color="auto" w:fill="auto"/>
            <w:vAlign w:val="center"/>
            <w:hideMark/>
          </w:tcPr>
          <w:p w14:paraId="108D9F70"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3,264</w:t>
            </w:r>
          </w:p>
        </w:tc>
        <w:tc>
          <w:tcPr>
            <w:tcW w:w="953" w:type="dxa"/>
            <w:tcBorders>
              <w:top w:val="nil"/>
              <w:left w:val="nil"/>
              <w:bottom w:val="single" w:sz="4" w:space="0" w:color="auto"/>
              <w:right w:val="single" w:sz="4" w:space="0" w:color="auto"/>
            </w:tcBorders>
            <w:shd w:val="clear" w:color="auto" w:fill="auto"/>
            <w:vAlign w:val="center"/>
            <w:hideMark/>
          </w:tcPr>
          <w:p w14:paraId="242A45E9"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1.0</w:t>
            </w:r>
            <w:r>
              <w:rPr>
                <w:rFonts w:cs="Calibri"/>
                <w:sz w:val="18"/>
                <w:szCs w:val="18"/>
                <w:lang w:eastAsia="en-AU"/>
              </w:rPr>
              <w:t>3</w:t>
            </w:r>
          </w:p>
        </w:tc>
        <w:tc>
          <w:tcPr>
            <w:tcW w:w="1109" w:type="dxa"/>
            <w:tcBorders>
              <w:top w:val="nil"/>
              <w:left w:val="nil"/>
              <w:bottom w:val="single" w:sz="4" w:space="0" w:color="auto"/>
              <w:right w:val="single" w:sz="4" w:space="0" w:color="auto"/>
            </w:tcBorders>
            <w:shd w:val="clear" w:color="auto" w:fill="auto"/>
            <w:vAlign w:val="center"/>
            <w:hideMark/>
          </w:tcPr>
          <w:p w14:paraId="04C8B44B"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86</w:t>
            </w:r>
          </w:p>
        </w:tc>
        <w:tc>
          <w:tcPr>
            <w:tcW w:w="1223" w:type="dxa"/>
            <w:tcBorders>
              <w:top w:val="nil"/>
              <w:left w:val="nil"/>
              <w:bottom w:val="single" w:sz="4" w:space="0" w:color="auto"/>
              <w:right w:val="single" w:sz="4" w:space="0" w:color="auto"/>
            </w:tcBorders>
            <w:shd w:val="clear" w:color="auto" w:fill="auto"/>
            <w:vAlign w:val="center"/>
            <w:hideMark/>
          </w:tcPr>
          <w:p w14:paraId="22B96103"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3%</w:t>
            </w:r>
          </w:p>
        </w:tc>
      </w:tr>
      <w:tr w:rsidR="009210B8" w:rsidRPr="0055027D" w14:paraId="1E35ABE5"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65077D32"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SA/NT</w:t>
            </w:r>
          </w:p>
        </w:tc>
        <w:tc>
          <w:tcPr>
            <w:tcW w:w="1073" w:type="dxa"/>
            <w:tcBorders>
              <w:top w:val="nil"/>
              <w:left w:val="nil"/>
              <w:bottom w:val="single" w:sz="4" w:space="0" w:color="auto"/>
              <w:right w:val="single" w:sz="4" w:space="0" w:color="auto"/>
            </w:tcBorders>
            <w:shd w:val="clear" w:color="auto" w:fill="auto"/>
            <w:vAlign w:val="center"/>
            <w:hideMark/>
          </w:tcPr>
          <w:p w14:paraId="6B5ACC77"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1,389</w:t>
            </w:r>
          </w:p>
        </w:tc>
        <w:tc>
          <w:tcPr>
            <w:tcW w:w="1350" w:type="dxa"/>
            <w:tcBorders>
              <w:top w:val="nil"/>
              <w:left w:val="nil"/>
              <w:bottom w:val="single" w:sz="4" w:space="0" w:color="auto"/>
              <w:right w:val="single" w:sz="4" w:space="0" w:color="auto"/>
            </w:tcBorders>
            <w:shd w:val="clear" w:color="auto" w:fill="auto"/>
            <w:vAlign w:val="center"/>
            <w:hideMark/>
          </w:tcPr>
          <w:p w14:paraId="1562E140"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1,468</w:t>
            </w:r>
          </w:p>
        </w:tc>
        <w:tc>
          <w:tcPr>
            <w:tcW w:w="953" w:type="dxa"/>
            <w:tcBorders>
              <w:top w:val="nil"/>
              <w:left w:val="nil"/>
              <w:bottom w:val="single" w:sz="4" w:space="0" w:color="auto"/>
              <w:right w:val="single" w:sz="4" w:space="0" w:color="auto"/>
            </w:tcBorders>
            <w:shd w:val="clear" w:color="auto" w:fill="auto"/>
            <w:vAlign w:val="center"/>
            <w:hideMark/>
          </w:tcPr>
          <w:p w14:paraId="0D681D02"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0.9</w:t>
            </w:r>
            <w:r>
              <w:rPr>
                <w:rFonts w:cs="Calibri"/>
                <w:sz w:val="18"/>
                <w:szCs w:val="18"/>
                <w:lang w:eastAsia="en-AU"/>
              </w:rPr>
              <w:t>5</w:t>
            </w:r>
          </w:p>
        </w:tc>
        <w:tc>
          <w:tcPr>
            <w:tcW w:w="1109" w:type="dxa"/>
            <w:tcBorders>
              <w:top w:val="nil"/>
              <w:left w:val="nil"/>
              <w:bottom w:val="single" w:sz="4" w:space="0" w:color="auto"/>
              <w:right w:val="single" w:sz="4" w:space="0" w:color="auto"/>
            </w:tcBorders>
            <w:shd w:val="clear" w:color="auto" w:fill="auto"/>
            <w:vAlign w:val="center"/>
            <w:hideMark/>
          </w:tcPr>
          <w:p w14:paraId="6E2D9783"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-79</w:t>
            </w:r>
          </w:p>
        </w:tc>
        <w:tc>
          <w:tcPr>
            <w:tcW w:w="1223" w:type="dxa"/>
            <w:tcBorders>
              <w:top w:val="nil"/>
              <w:left w:val="nil"/>
              <w:bottom w:val="single" w:sz="4" w:space="0" w:color="auto"/>
              <w:right w:val="single" w:sz="4" w:space="0" w:color="auto"/>
            </w:tcBorders>
            <w:shd w:val="clear" w:color="auto" w:fill="auto"/>
            <w:vAlign w:val="center"/>
            <w:hideMark/>
          </w:tcPr>
          <w:p w14:paraId="661A68DC"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5%</w:t>
            </w:r>
          </w:p>
        </w:tc>
      </w:tr>
      <w:tr w:rsidR="009210B8" w:rsidRPr="0055027D" w14:paraId="701A7A4B"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0C104038"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WA</w:t>
            </w:r>
          </w:p>
        </w:tc>
        <w:tc>
          <w:tcPr>
            <w:tcW w:w="1073" w:type="dxa"/>
            <w:tcBorders>
              <w:top w:val="nil"/>
              <w:left w:val="nil"/>
              <w:bottom w:val="single" w:sz="4" w:space="0" w:color="auto"/>
              <w:right w:val="single" w:sz="4" w:space="0" w:color="auto"/>
            </w:tcBorders>
            <w:shd w:val="clear" w:color="auto" w:fill="auto"/>
            <w:vAlign w:val="center"/>
            <w:hideMark/>
          </w:tcPr>
          <w:p w14:paraId="667C5785"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1,813</w:t>
            </w:r>
          </w:p>
        </w:tc>
        <w:tc>
          <w:tcPr>
            <w:tcW w:w="1350" w:type="dxa"/>
            <w:tcBorders>
              <w:top w:val="nil"/>
              <w:left w:val="nil"/>
              <w:bottom w:val="single" w:sz="4" w:space="0" w:color="auto"/>
              <w:right w:val="single" w:sz="4" w:space="0" w:color="auto"/>
            </w:tcBorders>
            <w:shd w:val="clear" w:color="auto" w:fill="auto"/>
            <w:vAlign w:val="center"/>
            <w:hideMark/>
          </w:tcPr>
          <w:p w14:paraId="4B36657A"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1,814</w:t>
            </w:r>
          </w:p>
        </w:tc>
        <w:tc>
          <w:tcPr>
            <w:tcW w:w="953" w:type="dxa"/>
            <w:tcBorders>
              <w:top w:val="nil"/>
              <w:left w:val="nil"/>
              <w:bottom w:val="single" w:sz="4" w:space="0" w:color="auto"/>
              <w:right w:val="single" w:sz="4" w:space="0" w:color="auto"/>
            </w:tcBorders>
            <w:shd w:val="clear" w:color="auto" w:fill="auto"/>
            <w:vAlign w:val="center"/>
            <w:hideMark/>
          </w:tcPr>
          <w:p w14:paraId="00DFE333"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1.00</w:t>
            </w:r>
          </w:p>
        </w:tc>
        <w:tc>
          <w:tcPr>
            <w:tcW w:w="1109" w:type="dxa"/>
            <w:tcBorders>
              <w:top w:val="nil"/>
              <w:left w:val="nil"/>
              <w:bottom w:val="single" w:sz="4" w:space="0" w:color="auto"/>
              <w:right w:val="single" w:sz="4" w:space="0" w:color="auto"/>
            </w:tcBorders>
            <w:shd w:val="clear" w:color="auto" w:fill="auto"/>
            <w:vAlign w:val="center"/>
            <w:hideMark/>
          </w:tcPr>
          <w:p w14:paraId="281BC1E4"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w:t>
            </w:r>
          </w:p>
        </w:tc>
        <w:tc>
          <w:tcPr>
            <w:tcW w:w="1223" w:type="dxa"/>
            <w:tcBorders>
              <w:top w:val="nil"/>
              <w:left w:val="nil"/>
              <w:bottom w:val="single" w:sz="4" w:space="0" w:color="auto"/>
              <w:right w:val="single" w:sz="4" w:space="0" w:color="auto"/>
            </w:tcBorders>
            <w:shd w:val="clear" w:color="auto" w:fill="auto"/>
            <w:vAlign w:val="center"/>
            <w:hideMark/>
          </w:tcPr>
          <w:p w14:paraId="4BEA21AB"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w:t>
            </w:r>
          </w:p>
        </w:tc>
      </w:tr>
      <w:tr w:rsidR="009210B8" w:rsidRPr="0055027D" w14:paraId="268108AA"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000000" w:fill="E7E6E6"/>
            <w:vAlign w:val="center"/>
            <w:hideMark/>
          </w:tcPr>
          <w:p w14:paraId="42D2773F"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Total</w:t>
            </w:r>
          </w:p>
        </w:tc>
        <w:tc>
          <w:tcPr>
            <w:tcW w:w="1073" w:type="dxa"/>
            <w:tcBorders>
              <w:top w:val="nil"/>
              <w:left w:val="nil"/>
              <w:bottom w:val="single" w:sz="4" w:space="0" w:color="auto"/>
              <w:right w:val="single" w:sz="4" w:space="0" w:color="auto"/>
            </w:tcBorders>
            <w:shd w:val="clear" w:color="000000" w:fill="E7E6E6"/>
            <w:vAlign w:val="center"/>
            <w:hideMark/>
          </w:tcPr>
          <w:p w14:paraId="1F358A39"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15,865</w:t>
            </w:r>
          </w:p>
        </w:tc>
        <w:tc>
          <w:tcPr>
            <w:tcW w:w="1350" w:type="dxa"/>
            <w:tcBorders>
              <w:top w:val="nil"/>
              <w:left w:val="nil"/>
              <w:bottom w:val="single" w:sz="4" w:space="0" w:color="auto"/>
              <w:right w:val="single" w:sz="4" w:space="0" w:color="auto"/>
            </w:tcBorders>
            <w:shd w:val="clear" w:color="000000" w:fill="E7E6E6"/>
            <w:vAlign w:val="center"/>
            <w:hideMark/>
          </w:tcPr>
          <w:p w14:paraId="64047A7B"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16,866</w:t>
            </w:r>
          </w:p>
        </w:tc>
        <w:tc>
          <w:tcPr>
            <w:tcW w:w="953" w:type="dxa"/>
            <w:tcBorders>
              <w:top w:val="nil"/>
              <w:left w:val="nil"/>
              <w:bottom w:val="single" w:sz="4" w:space="0" w:color="auto"/>
              <w:right w:val="single" w:sz="4" w:space="0" w:color="auto"/>
            </w:tcBorders>
            <w:shd w:val="clear" w:color="000000" w:fill="E7E6E6"/>
            <w:vAlign w:val="center"/>
            <w:hideMark/>
          </w:tcPr>
          <w:p w14:paraId="1ADBAF5B"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0.94</w:t>
            </w:r>
          </w:p>
        </w:tc>
        <w:tc>
          <w:tcPr>
            <w:tcW w:w="1109" w:type="dxa"/>
            <w:tcBorders>
              <w:top w:val="nil"/>
              <w:left w:val="nil"/>
              <w:bottom w:val="single" w:sz="4" w:space="0" w:color="auto"/>
              <w:right w:val="single" w:sz="4" w:space="0" w:color="auto"/>
            </w:tcBorders>
            <w:shd w:val="clear" w:color="000000" w:fill="E7E6E6"/>
            <w:vAlign w:val="center"/>
            <w:hideMark/>
          </w:tcPr>
          <w:p w14:paraId="78E2F465"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-1,001</w:t>
            </w:r>
          </w:p>
        </w:tc>
        <w:tc>
          <w:tcPr>
            <w:tcW w:w="1223" w:type="dxa"/>
            <w:tcBorders>
              <w:top w:val="nil"/>
              <w:left w:val="nil"/>
              <w:bottom w:val="single" w:sz="4" w:space="0" w:color="auto"/>
              <w:right w:val="single" w:sz="4" w:space="0" w:color="auto"/>
            </w:tcBorders>
            <w:shd w:val="clear" w:color="000000" w:fill="E7E6E6"/>
            <w:vAlign w:val="center"/>
            <w:hideMark/>
          </w:tcPr>
          <w:p w14:paraId="35C6CBB1" w14:textId="77777777" w:rsidR="009210B8" w:rsidRPr="007E01FD" w:rsidRDefault="009210B8" w:rsidP="009210B8">
            <w:pPr>
              <w:spacing w:after="0" w:line="240" w:lineRule="auto"/>
              <w:jc w:val="right"/>
              <w:rPr>
                <w:rFonts w:cs="Calibri"/>
                <w:b/>
                <w:sz w:val="18"/>
                <w:szCs w:val="18"/>
                <w:lang w:eastAsia="en-AU"/>
              </w:rPr>
            </w:pPr>
            <w:r>
              <w:rPr>
                <w:rFonts w:cs="Calibri"/>
                <w:b/>
                <w:sz w:val="18"/>
                <w:szCs w:val="18"/>
                <w:lang w:eastAsia="en-AU"/>
              </w:rPr>
              <w:t>-</w:t>
            </w:r>
            <w:r w:rsidRPr="007E01FD">
              <w:rPr>
                <w:rFonts w:cs="Calibri"/>
                <w:b/>
                <w:sz w:val="18"/>
                <w:szCs w:val="18"/>
                <w:lang w:eastAsia="en-AU"/>
              </w:rPr>
              <w:t>6%</w:t>
            </w:r>
          </w:p>
        </w:tc>
      </w:tr>
      <w:tr w:rsidR="009210B8" w:rsidRPr="0055027D" w14:paraId="1A8B7CF1" w14:textId="77777777" w:rsidTr="009210B8">
        <w:trPr>
          <w:trHeight w:val="290"/>
        </w:trPr>
        <w:tc>
          <w:tcPr>
            <w:tcW w:w="7356" w:type="dxa"/>
            <w:gridSpan w:val="7"/>
            <w:tcBorders>
              <w:top w:val="single" w:sz="4" w:space="0" w:color="auto"/>
              <w:left w:val="single" w:sz="4" w:space="0" w:color="auto"/>
              <w:bottom w:val="single" w:sz="4" w:space="0" w:color="auto"/>
              <w:right w:val="single" w:sz="4" w:space="0" w:color="auto"/>
            </w:tcBorders>
            <w:shd w:val="clear" w:color="000000" w:fill="A6A6A6"/>
            <w:vAlign w:val="center"/>
            <w:hideMark/>
          </w:tcPr>
          <w:p w14:paraId="3F36208C"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Colorectal cancer</w:t>
            </w:r>
            <w:r>
              <w:rPr>
                <w:rStyle w:val="FootnoteReference"/>
                <w:rFonts w:cs="Calibri"/>
                <w:b/>
                <w:sz w:val="18"/>
                <w:szCs w:val="18"/>
                <w:lang w:eastAsia="en-AU"/>
              </w:rPr>
              <w:footnoteReference w:id="41"/>
            </w:r>
          </w:p>
        </w:tc>
      </w:tr>
      <w:tr w:rsidR="009210B8" w:rsidRPr="0055027D" w14:paraId="5C4401DE"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7444FA78"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NSW/ACT</w:t>
            </w:r>
          </w:p>
        </w:tc>
        <w:tc>
          <w:tcPr>
            <w:tcW w:w="1073" w:type="dxa"/>
            <w:tcBorders>
              <w:top w:val="nil"/>
              <w:left w:val="nil"/>
              <w:bottom w:val="single" w:sz="4" w:space="0" w:color="auto"/>
              <w:right w:val="single" w:sz="4" w:space="0" w:color="auto"/>
            </w:tcBorders>
            <w:shd w:val="clear" w:color="auto" w:fill="auto"/>
            <w:vAlign w:val="center"/>
            <w:hideMark/>
          </w:tcPr>
          <w:p w14:paraId="1549D465"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3,868</w:t>
            </w:r>
          </w:p>
        </w:tc>
        <w:tc>
          <w:tcPr>
            <w:tcW w:w="1350" w:type="dxa"/>
            <w:tcBorders>
              <w:top w:val="nil"/>
              <w:left w:val="nil"/>
              <w:bottom w:val="single" w:sz="4" w:space="0" w:color="auto"/>
              <w:right w:val="single" w:sz="4" w:space="0" w:color="auto"/>
            </w:tcBorders>
            <w:shd w:val="clear" w:color="auto" w:fill="auto"/>
            <w:vAlign w:val="center"/>
            <w:hideMark/>
          </w:tcPr>
          <w:p w14:paraId="4C65D17A"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3,999</w:t>
            </w:r>
          </w:p>
        </w:tc>
        <w:tc>
          <w:tcPr>
            <w:tcW w:w="953" w:type="dxa"/>
            <w:tcBorders>
              <w:top w:val="nil"/>
              <w:left w:val="nil"/>
              <w:bottom w:val="single" w:sz="4" w:space="0" w:color="auto"/>
              <w:right w:val="single" w:sz="4" w:space="0" w:color="auto"/>
            </w:tcBorders>
            <w:shd w:val="clear" w:color="auto" w:fill="auto"/>
            <w:vAlign w:val="center"/>
            <w:hideMark/>
          </w:tcPr>
          <w:p w14:paraId="7922044B"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0.9</w:t>
            </w:r>
            <w:r>
              <w:rPr>
                <w:rFonts w:cs="Calibri"/>
                <w:sz w:val="18"/>
                <w:szCs w:val="18"/>
                <w:lang w:eastAsia="en-AU"/>
              </w:rPr>
              <w:t>7</w:t>
            </w:r>
          </w:p>
        </w:tc>
        <w:tc>
          <w:tcPr>
            <w:tcW w:w="1109" w:type="dxa"/>
            <w:tcBorders>
              <w:top w:val="nil"/>
              <w:left w:val="nil"/>
              <w:bottom w:val="single" w:sz="4" w:space="0" w:color="auto"/>
              <w:right w:val="single" w:sz="4" w:space="0" w:color="auto"/>
            </w:tcBorders>
            <w:shd w:val="clear" w:color="auto" w:fill="auto"/>
            <w:vAlign w:val="center"/>
            <w:hideMark/>
          </w:tcPr>
          <w:p w14:paraId="290B9C52"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-131</w:t>
            </w:r>
          </w:p>
        </w:tc>
        <w:tc>
          <w:tcPr>
            <w:tcW w:w="1223" w:type="dxa"/>
            <w:tcBorders>
              <w:top w:val="nil"/>
              <w:left w:val="nil"/>
              <w:bottom w:val="single" w:sz="4" w:space="0" w:color="auto"/>
              <w:right w:val="single" w:sz="4" w:space="0" w:color="auto"/>
            </w:tcBorders>
            <w:shd w:val="clear" w:color="auto" w:fill="auto"/>
            <w:vAlign w:val="center"/>
            <w:hideMark/>
          </w:tcPr>
          <w:p w14:paraId="3D78BEFF"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3%</w:t>
            </w:r>
          </w:p>
        </w:tc>
      </w:tr>
      <w:tr w:rsidR="009210B8" w:rsidRPr="0055027D" w14:paraId="139EE990"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38089B8F"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VIC/TAS</w:t>
            </w:r>
          </w:p>
        </w:tc>
        <w:tc>
          <w:tcPr>
            <w:tcW w:w="1073" w:type="dxa"/>
            <w:tcBorders>
              <w:top w:val="nil"/>
              <w:left w:val="nil"/>
              <w:bottom w:val="single" w:sz="4" w:space="0" w:color="auto"/>
              <w:right w:val="single" w:sz="4" w:space="0" w:color="auto"/>
            </w:tcBorders>
            <w:shd w:val="clear" w:color="auto" w:fill="auto"/>
            <w:vAlign w:val="center"/>
            <w:hideMark/>
          </w:tcPr>
          <w:p w14:paraId="3D4484BB"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3,118</w:t>
            </w:r>
          </w:p>
        </w:tc>
        <w:tc>
          <w:tcPr>
            <w:tcW w:w="1350" w:type="dxa"/>
            <w:tcBorders>
              <w:top w:val="nil"/>
              <w:left w:val="nil"/>
              <w:bottom w:val="single" w:sz="4" w:space="0" w:color="auto"/>
              <w:right w:val="single" w:sz="4" w:space="0" w:color="auto"/>
            </w:tcBorders>
            <w:shd w:val="clear" w:color="auto" w:fill="auto"/>
            <w:vAlign w:val="center"/>
            <w:hideMark/>
          </w:tcPr>
          <w:p w14:paraId="08A4D43A"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3,196</w:t>
            </w:r>
          </w:p>
        </w:tc>
        <w:tc>
          <w:tcPr>
            <w:tcW w:w="953" w:type="dxa"/>
            <w:tcBorders>
              <w:top w:val="nil"/>
              <w:left w:val="nil"/>
              <w:bottom w:val="single" w:sz="4" w:space="0" w:color="auto"/>
              <w:right w:val="single" w:sz="4" w:space="0" w:color="auto"/>
            </w:tcBorders>
            <w:shd w:val="clear" w:color="auto" w:fill="auto"/>
            <w:vAlign w:val="center"/>
            <w:hideMark/>
          </w:tcPr>
          <w:p w14:paraId="366E63D4"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0.9</w:t>
            </w:r>
            <w:r>
              <w:rPr>
                <w:rFonts w:cs="Calibri"/>
                <w:sz w:val="18"/>
                <w:szCs w:val="18"/>
                <w:lang w:eastAsia="en-AU"/>
              </w:rPr>
              <w:t>8</w:t>
            </w:r>
          </w:p>
        </w:tc>
        <w:tc>
          <w:tcPr>
            <w:tcW w:w="1109" w:type="dxa"/>
            <w:tcBorders>
              <w:top w:val="nil"/>
              <w:left w:val="nil"/>
              <w:bottom w:val="single" w:sz="4" w:space="0" w:color="auto"/>
              <w:right w:val="single" w:sz="4" w:space="0" w:color="auto"/>
            </w:tcBorders>
            <w:shd w:val="clear" w:color="auto" w:fill="auto"/>
            <w:vAlign w:val="center"/>
            <w:hideMark/>
          </w:tcPr>
          <w:p w14:paraId="43F87CAE"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-78</w:t>
            </w:r>
          </w:p>
        </w:tc>
        <w:tc>
          <w:tcPr>
            <w:tcW w:w="1223" w:type="dxa"/>
            <w:tcBorders>
              <w:top w:val="nil"/>
              <w:left w:val="nil"/>
              <w:bottom w:val="single" w:sz="4" w:space="0" w:color="auto"/>
              <w:right w:val="single" w:sz="4" w:space="0" w:color="auto"/>
            </w:tcBorders>
            <w:shd w:val="clear" w:color="auto" w:fill="auto"/>
            <w:vAlign w:val="center"/>
            <w:hideMark/>
          </w:tcPr>
          <w:p w14:paraId="2ED3EFAF"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2%</w:t>
            </w:r>
          </w:p>
        </w:tc>
      </w:tr>
      <w:tr w:rsidR="009210B8" w:rsidRPr="0055027D" w14:paraId="7EA628DE"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5272FCBF"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QLD</w:t>
            </w:r>
          </w:p>
        </w:tc>
        <w:tc>
          <w:tcPr>
            <w:tcW w:w="1073" w:type="dxa"/>
            <w:tcBorders>
              <w:top w:val="nil"/>
              <w:left w:val="nil"/>
              <w:bottom w:val="single" w:sz="4" w:space="0" w:color="auto"/>
              <w:right w:val="single" w:sz="4" w:space="0" w:color="auto"/>
            </w:tcBorders>
            <w:shd w:val="clear" w:color="auto" w:fill="auto"/>
            <w:vAlign w:val="center"/>
            <w:hideMark/>
          </w:tcPr>
          <w:p w14:paraId="20571783"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2,590</w:t>
            </w:r>
          </w:p>
        </w:tc>
        <w:tc>
          <w:tcPr>
            <w:tcW w:w="1350" w:type="dxa"/>
            <w:tcBorders>
              <w:top w:val="nil"/>
              <w:left w:val="nil"/>
              <w:bottom w:val="single" w:sz="4" w:space="0" w:color="auto"/>
              <w:right w:val="single" w:sz="4" w:space="0" w:color="auto"/>
            </w:tcBorders>
            <w:shd w:val="clear" w:color="auto" w:fill="auto"/>
            <w:vAlign w:val="center"/>
            <w:hideMark/>
          </w:tcPr>
          <w:p w14:paraId="482DB430"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2,449</w:t>
            </w:r>
          </w:p>
        </w:tc>
        <w:tc>
          <w:tcPr>
            <w:tcW w:w="953" w:type="dxa"/>
            <w:tcBorders>
              <w:top w:val="nil"/>
              <w:left w:val="nil"/>
              <w:bottom w:val="single" w:sz="4" w:space="0" w:color="auto"/>
              <w:right w:val="single" w:sz="4" w:space="0" w:color="auto"/>
            </w:tcBorders>
            <w:shd w:val="clear" w:color="auto" w:fill="auto"/>
            <w:vAlign w:val="center"/>
            <w:hideMark/>
          </w:tcPr>
          <w:p w14:paraId="1C6666BD"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1.0</w:t>
            </w:r>
            <w:r>
              <w:rPr>
                <w:rFonts w:cs="Calibri"/>
                <w:sz w:val="18"/>
                <w:szCs w:val="18"/>
                <w:lang w:eastAsia="en-AU"/>
              </w:rPr>
              <w:t>6</w:t>
            </w:r>
          </w:p>
        </w:tc>
        <w:tc>
          <w:tcPr>
            <w:tcW w:w="1109" w:type="dxa"/>
            <w:tcBorders>
              <w:top w:val="nil"/>
              <w:left w:val="nil"/>
              <w:bottom w:val="single" w:sz="4" w:space="0" w:color="auto"/>
              <w:right w:val="single" w:sz="4" w:space="0" w:color="auto"/>
            </w:tcBorders>
            <w:shd w:val="clear" w:color="auto" w:fill="auto"/>
            <w:vAlign w:val="center"/>
            <w:hideMark/>
          </w:tcPr>
          <w:p w14:paraId="1F801736"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141</w:t>
            </w:r>
          </w:p>
        </w:tc>
        <w:tc>
          <w:tcPr>
            <w:tcW w:w="1223" w:type="dxa"/>
            <w:tcBorders>
              <w:top w:val="nil"/>
              <w:left w:val="nil"/>
              <w:bottom w:val="single" w:sz="4" w:space="0" w:color="auto"/>
              <w:right w:val="single" w:sz="4" w:space="0" w:color="auto"/>
            </w:tcBorders>
            <w:shd w:val="clear" w:color="auto" w:fill="auto"/>
            <w:vAlign w:val="center"/>
            <w:hideMark/>
          </w:tcPr>
          <w:p w14:paraId="10072F16"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6%</w:t>
            </w:r>
          </w:p>
        </w:tc>
      </w:tr>
      <w:tr w:rsidR="009210B8" w:rsidRPr="0055027D" w14:paraId="64F7F429"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477AD099"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SA/NT</w:t>
            </w:r>
          </w:p>
        </w:tc>
        <w:tc>
          <w:tcPr>
            <w:tcW w:w="1073" w:type="dxa"/>
            <w:tcBorders>
              <w:top w:val="nil"/>
              <w:left w:val="nil"/>
              <w:bottom w:val="single" w:sz="4" w:space="0" w:color="auto"/>
              <w:right w:val="single" w:sz="4" w:space="0" w:color="auto"/>
            </w:tcBorders>
            <w:shd w:val="clear" w:color="auto" w:fill="auto"/>
            <w:vAlign w:val="center"/>
            <w:hideMark/>
          </w:tcPr>
          <w:p w14:paraId="4DA1527A"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923</w:t>
            </w:r>
          </w:p>
        </w:tc>
        <w:tc>
          <w:tcPr>
            <w:tcW w:w="1350" w:type="dxa"/>
            <w:tcBorders>
              <w:top w:val="nil"/>
              <w:left w:val="nil"/>
              <w:bottom w:val="single" w:sz="4" w:space="0" w:color="auto"/>
              <w:right w:val="single" w:sz="4" w:space="0" w:color="auto"/>
            </w:tcBorders>
            <w:shd w:val="clear" w:color="auto" w:fill="auto"/>
            <w:vAlign w:val="center"/>
            <w:hideMark/>
          </w:tcPr>
          <w:p w14:paraId="40E5E471"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878</w:t>
            </w:r>
          </w:p>
        </w:tc>
        <w:tc>
          <w:tcPr>
            <w:tcW w:w="953" w:type="dxa"/>
            <w:tcBorders>
              <w:top w:val="nil"/>
              <w:left w:val="nil"/>
              <w:bottom w:val="single" w:sz="4" w:space="0" w:color="auto"/>
              <w:right w:val="single" w:sz="4" w:space="0" w:color="auto"/>
            </w:tcBorders>
            <w:shd w:val="clear" w:color="auto" w:fill="auto"/>
            <w:vAlign w:val="center"/>
            <w:hideMark/>
          </w:tcPr>
          <w:p w14:paraId="4E799FE3"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1.05</w:t>
            </w:r>
          </w:p>
        </w:tc>
        <w:tc>
          <w:tcPr>
            <w:tcW w:w="1109" w:type="dxa"/>
            <w:tcBorders>
              <w:top w:val="nil"/>
              <w:left w:val="nil"/>
              <w:bottom w:val="single" w:sz="4" w:space="0" w:color="auto"/>
              <w:right w:val="single" w:sz="4" w:space="0" w:color="auto"/>
            </w:tcBorders>
            <w:shd w:val="clear" w:color="auto" w:fill="auto"/>
            <w:vAlign w:val="center"/>
            <w:hideMark/>
          </w:tcPr>
          <w:p w14:paraId="2AF7A354"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45</w:t>
            </w:r>
          </w:p>
        </w:tc>
        <w:tc>
          <w:tcPr>
            <w:tcW w:w="1223" w:type="dxa"/>
            <w:tcBorders>
              <w:top w:val="nil"/>
              <w:left w:val="nil"/>
              <w:bottom w:val="single" w:sz="4" w:space="0" w:color="auto"/>
              <w:right w:val="single" w:sz="4" w:space="0" w:color="auto"/>
            </w:tcBorders>
            <w:shd w:val="clear" w:color="auto" w:fill="auto"/>
            <w:vAlign w:val="center"/>
            <w:hideMark/>
          </w:tcPr>
          <w:p w14:paraId="79419B83"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5%</w:t>
            </w:r>
          </w:p>
        </w:tc>
      </w:tr>
      <w:tr w:rsidR="009210B8" w:rsidRPr="0055027D" w14:paraId="3FD70F9A"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175EC79A"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WA</w:t>
            </w:r>
          </w:p>
        </w:tc>
        <w:tc>
          <w:tcPr>
            <w:tcW w:w="1073" w:type="dxa"/>
            <w:tcBorders>
              <w:top w:val="nil"/>
              <w:left w:val="nil"/>
              <w:bottom w:val="single" w:sz="4" w:space="0" w:color="auto"/>
              <w:right w:val="single" w:sz="4" w:space="0" w:color="auto"/>
            </w:tcBorders>
            <w:shd w:val="clear" w:color="auto" w:fill="auto"/>
            <w:vAlign w:val="center"/>
            <w:hideMark/>
          </w:tcPr>
          <w:p w14:paraId="2A1C1858"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1,006</w:t>
            </w:r>
          </w:p>
        </w:tc>
        <w:tc>
          <w:tcPr>
            <w:tcW w:w="1350" w:type="dxa"/>
            <w:tcBorders>
              <w:top w:val="nil"/>
              <w:left w:val="nil"/>
              <w:bottom w:val="single" w:sz="4" w:space="0" w:color="auto"/>
              <w:right w:val="single" w:sz="4" w:space="0" w:color="auto"/>
            </w:tcBorders>
            <w:shd w:val="clear" w:color="auto" w:fill="auto"/>
            <w:vAlign w:val="center"/>
            <w:hideMark/>
          </w:tcPr>
          <w:p w14:paraId="12DEA0B1"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1,134</w:t>
            </w:r>
          </w:p>
        </w:tc>
        <w:tc>
          <w:tcPr>
            <w:tcW w:w="953" w:type="dxa"/>
            <w:tcBorders>
              <w:top w:val="nil"/>
              <w:left w:val="nil"/>
              <w:bottom w:val="single" w:sz="4" w:space="0" w:color="auto"/>
              <w:right w:val="single" w:sz="4" w:space="0" w:color="auto"/>
            </w:tcBorders>
            <w:shd w:val="clear" w:color="auto" w:fill="auto"/>
            <w:vAlign w:val="center"/>
            <w:hideMark/>
          </w:tcPr>
          <w:p w14:paraId="01C76D0A"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0.8</w:t>
            </w:r>
            <w:r>
              <w:rPr>
                <w:rFonts w:cs="Calibri"/>
                <w:sz w:val="18"/>
                <w:szCs w:val="18"/>
                <w:lang w:eastAsia="en-AU"/>
              </w:rPr>
              <w:t>9</w:t>
            </w:r>
          </w:p>
        </w:tc>
        <w:tc>
          <w:tcPr>
            <w:tcW w:w="1109" w:type="dxa"/>
            <w:tcBorders>
              <w:top w:val="nil"/>
              <w:left w:val="nil"/>
              <w:bottom w:val="single" w:sz="4" w:space="0" w:color="auto"/>
              <w:right w:val="single" w:sz="4" w:space="0" w:color="auto"/>
            </w:tcBorders>
            <w:shd w:val="clear" w:color="auto" w:fill="auto"/>
            <w:vAlign w:val="center"/>
            <w:hideMark/>
          </w:tcPr>
          <w:p w14:paraId="5AAEB7BA"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-128</w:t>
            </w:r>
          </w:p>
        </w:tc>
        <w:tc>
          <w:tcPr>
            <w:tcW w:w="1223" w:type="dxa"/>
            <w:tcBorders>
              <w:top w:val="nil"/>
              <w:left w:val="nil"/>
              <w:bottom w:val="single" w:sz="4" w:space="0" w:color="auto"/>
              <w:right w:val="single" w:sz="4" w:space="0" w:color="auto"/>
            </w:tcBorders>
            <w:shd w:val="clear" w:color="auto" w:fill="auto"/>
            <w:vAlign w:val="center"/>
            <w:hideMark/>
          </w:tcPr>
          <w:p w14:paraId="7BCB4305"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11%</w:t>
            </w:r>
          </w:p>
        </w:tc>
      </w:tr>
      <w:tr w:rsidR="009210B8" w:rsidRPr="0055027D" w14:paraId="3F1FBC6E"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000000" w:fill="E7E6E6"/>
            <w:vAlign w:val="center"/>
            <w:hideMark/>
          </w:tcPr>
          <w:p w14:paraId="387E594B"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Total</w:t>
            </w:r>
          </w:p>
        </w:tc>
        <w:tc>
          <w:tcPr>
            <w:tcW w:w="1073" w:type="dxa"/>
            <w:tcBorders>
              <w:top w:val="nil"/>
              <w:left w:val="nil"/>
              <w:bottom w:val="single" w:sz="4" w:space="0" w:color="auto"/>
              <w:right w:val="single" w:sz="4" w:space="0" w:color="auto"/>
            </w:tcBorders>
            <w:shd w:val="clear" w:color="000000" w:fill="E7E6E6"/>
            <w:vAlign w:val="center"/>
            <w:hideMark/>
          </w:tcPr>
          <w:p w14:paraId="62345D9F"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11,505</w:t>
            </w:r>
          </w:p>
        </w:tc>
        <w:tc>
          <w:tcPr>
            <w:tcW w:w="1350" w:type="dxa"/>
            <w:tcBorders>
              <w:top w:val="nil"/>
              <w:left w:val="nil"/>
              <w:bottom w:val="single" w:sz="4" w:space="0" w:color="auto"/>
              <w:right w:val="single" w:sz="4" w:space="0" w:color="auto"/>
            </w:tcBorders>
            <w:shd w:val="clear" w:color="000000" w:fill="E7E6E6"/>
            <w:vAlign w:val="center"/>
            <w:hideMark/>
          </w:tcPr>
          <w:p w14:paraId="0DF892A1"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11,656</w:t>
            </w:r>
          </w:p>
        </w:tc>
        <w:tc>
          <w:tcPr>
            <w:tcW w:w="953" w:type="dxa"/>
            <w:tcBorders>
              <w:top w:val="nil"/>
              <w:left w:val="nil"/>
              <w:bottom w:val="single" w:sz="4" w:space="0" w:color="auto"/>
              <w:right w:val="single" w:sz="4" w:space="0" w:color="auto"/>
            </w:tcBorders>
            <w:shd w:val="clear" w:color="000000" w:fill="E7E6E6"/>
            <w:vAlign w:val="center"/>
            <w:hideMark/>
          </w:tcPr>
          <w:p w14:paraId="141DD341"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0.9</w:t>
            </w:r>
            <w:r>
              <w:rPr>
                <w:rFonts w:cs="Calibri"/>
                <w:b/>
                <w:sz w:val="18"/>
                <w:szCs w:val="18"/>
                <w:lang w:eastAsia="en-AU"/>
              </w:rPr>
              <w:t>9</w:t>
            </w:r>
          </w:p>
        </w:tc>
        <w:tc>
          <w:tcPr>
            <w:tcW w:w="1109" w:type="dxa"/>
            <w:tcBorders>
              <w:top w:val="nil"/>
              <w:left w:val="nil"/>
              <w:bottom w:val="single" w:sz="4" w:space="0" w:color="auto"/>
              <w:right w:val="single" w:sz="4" w:space="0" w:color="auto"/>
            </w:tcBorders>
            <w:shd w:val="clear" w:color="000000" w:fill="E7E6E6"/>
            <w:vAlign w:val="center"/>
            <w:hideMark/>
          </w:tcPr>
          <w:p w14:paraId="573E10E5"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-151</w:t>
            </w:r>
          </w:p>
        </w:tc>
        <w:tc>
          <w:tcPr>
            <w:tcW w:w="1223" w:type="dxa"/>
            <w:tcBorders>
              <w:top w:val="nil"/>
              <w:left w:val="nil"/>
              <w:bottom w:val="single" w:sz="4" w:space="0" w:color="auto"/>
              <w:right w:val="single" w:sz="4" w:space="0" w:color="auto"/>
            </w:tcBorders>
            <w:shd w:val="clear" w:color="000000" w:fill="E7E6E6"/>
            <w:vAlign w:val="center"/>
            <w:hideMark/>
          </w:tcPr>
          <w:p w14:paraId="031B0872" w14:textId="77777777" w:rsidR="009210B8" w:rsidRPr="007E01FD" w:rsidRDefault="009210B8" w:rsidP="009210B8">
            <w:pPr>
              <w:spacing w:after="0" w:line="240" w:lineRule="auto"/>
              <w:jc w:val="right"/>
              <w:rPr>
                <w:rFonts w:cs="Calibri"/>
                <w:b/>
                <w:sz w:val="18"/>
                <w:szCs w:val="18"/>
                <w:lang w:eastAsia="en-AU"/>
              </w:rPr>
            </w:pPr>
            <w:r>
              <w:rPr>
                <w:rFonts w:cs="Calibri"/>
                <w:b/>
                <w:sz w:val="18"/>
                <w:szCs w:val="18"/>
                <w:lang w:eastAsia="en-AU"/>
              </w:rPr>
              <w:t>-</w:t>
            </w:r>
            <w:r w:rsidRPr="007E01FD">
              <w:rPr>
                <w:rFonts w:cs="Calibri"/>
                <w:b/>
                <w:sz w:val="18"/>
                <w:szCs w:val="18"/>
                <w:lang w:eastAsia="en-AU"/>
              </w:rPr>
              <w:t>1%</w:t>
            </w:r>
          </w:p>
        </w:tc>
      </w:tr>
      <w:tr w:rsidR="009210B8" w:rsidRPr="007E01FD" w14:paraId="0FC68E0F" w14:textId="77777777" w:rsidTr="009210B8">
        <w:trPr>
          <w:trHeight w:val="290"/>
        </w:trPr>
        <w:tc>
          <w:tcPr>
            <w:tcW w:w="7356" w:type="dxa"/>
            <w:gridSpan w:val="7"/>
            <w:tcBorders>
              <w:top w:val="single" w:sz="4" w:space="0" w:color="auto"/>
              <w:left w:val="single" w:sz="4" w:space="0" w:color="auto"/>
              <w:bottom w:val="single" w:sz="4" w:space="0" w:color="auto"/>
              <w:right w:val="single" w:sz="4" w:space="0" w:color="auto"/>
            </w:tcBorders>
            <w:shd w:val="clear" w:color="000000" w:fill="A6A6A6"/>
            <w:vAlign w:val="center"/>
            <w:hideMark/>
          </w:tcPr>
          <w:p w14:paraId="3F8C9896"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 xml:space="preserve">Kidney cancer </w:t>
            </w:r>
          </w:p>
        </w:tc>
      </w:tr>
      <w:tr w:rsidR="009210B8" w:rsidRPr="007E01FD" w14:paraId="7070749B"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4F448793"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NSW/ACT</w:t>
            </w:r>
          </w:p>
        </w:tc>
        <w:tc>
          <w:tcPr>
            <w:tcW w:w="1073" w:type="dxa"/>
            <w:tcBorders>
              <w:top w:val="nil"/>
              <w:left w:val="nil"/>
              <w:bottom w:val="single" w:sz="4" w:space="0" w:color="auto"/>
              <w:right w:val="single" w:sz="4" w:space="0" w:color="auto"/>
            </w:tcBorders>
            <w:shd w:val="clear" w:color="auto" w:fill="auto"/>
            <w:vAlign w:val="center"/>
            <w:hideMark/>
          </w:tcPr>
          <w:p w14:paraId="1312001A"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848</w:t>
            </w:r>
          </w:p>
        </w:tc>
        <w:tc>
          <w:tcPr>
            <w:tcW w:w="1350" w:type="dxa"/>
            <w:tcBorders>
              <w:top w:val="nil"/>
              <w:left w:val="nil"/>
              <w:bottom w:val="single" w:sz="4" w:space="0" w:color="auto"/>
              <w:right w:val="single" w:sz="4" w:space="0" w:color="auto"/>
            </w:tcBorders>
            <w:shd w:val="clear" w:color="auto" w:fill="auto"/>
            <w:vAlign w:val="center"/>
            <w:hideMark/>
          </w:tcPr>
          <w:p w14:paraId="349A95ED"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875</w:t>
            </w:r>
          </w:p>
        </w:tc>
        <w:tc>
          <w:tcPr>
            <w:tcW w:w="953" w:type="dxa"/>
            <w:tcBorders>
              <w:top w:val="nil"/>
              <w:left w:val="nil"/>
              <w:bottom w:val="single" w:sz="4" w:space="0" w:color="auto"/>
              <w:right w:val="single" w:sz="4" w:space="0" w:color="auto"/>
            </w:tcBorders>
            <w:shd w:val="clear" w:color="auto" w:fill="auto"/>
            <w:vAlign w:val="center"/>
            <w:hideMark/>
          </w:tcPr>
          <w:p w14:paraId="29766C95"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0.9</w:t>
            </w:r>
            <w:r>
              <w:rPr>
                <w:rFonts w:cs="Calibri"/>
                <w:sz w:val="18"/>
                <w:szCs w:val="18"/>
                <w:lang w:eastAsia="en-AU"/>
              </w:rPr>
              <w:t>7</w:t>
            </w:r>
          </w:p>
        </w:tc>
        <w:tc>
          <w:tcPr>
            <w:tcW w:w="1109" w:type="dxa"/>
            <w:tcBorders>
              <w:top w:val="nil"/>
              <w:left w:val="nil"/>
              <w:bottom w:val="single" w:sz="4" w:space="0" w:color="auto"/>
              <w:right w:val="single" w:sz="4" w:space="0" w:color="auto"/>
            </w:tcBorders>
            <w:shd w:val="clear" w:color="auto" w:fill="auto"/>
            <w:vAlign w:val="center"/>
            <w:hideMark/>
          </w:tcPr>
          <w:p w14:paraId="3F304E8B"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-27</w:t>
            </w:r>
          </w:p>
        </w:tc>
        <w:tc>
          <w:tcPr>
            <w:tcW w:w="1223" w:type="dxa"/>
            <w:tcBorders>
              <w:top w:val="nil"/>
              <w:left w:val="nil"/>
              <w:bottom w:val="single" w:sz="4" w:space="0" w:color="auto"/>
              <w:right w:val="single" w:sz="4" w:space="0" w:color="auto"/>
            </w:tcBorders>
            <w:shd w:val="clear" w:color="auto" w:fill="auto"/>
            <w:vAlign w:val="center"/>
            <w:hideMark/>
          </w:tcPr>
          <w:p w14:paraId="3B421019"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3%</w:t>
            </w:r>
          </w:p>
        </w:tc>
      </w:tr>
      <w:tr w:rsidR="009210B8" w:rsidRPr="007E01FD" w14:paraId="53E38295"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2536633C"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VIC/TAS</w:t>
            </w:r>
          </w:p>
        </w:tc>
        <w:tc>
          <w:tcPr>
            <w:tcW w:w="1073" w:type="dxa"/>
            <w:tcBorders>
              <w:top w:val="nil"/>
              <w:left w:val="nil"/>
              <w:bottom w:val="single" w:sz="4" w:space="0" w:color="auto"/>
              <w:right w:val="single" w:sz="4" w:space="0" w:color="auto"/>
            </w:tcBorders>
            <w:shd w:val="clear" w:color="auto" w:fill="auto"/>
            <w:vAlign w:val="center"/>
            <w:hideMark/>
          </w:tcPr>
          <w:p w14:paraId="3289B144"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619</w:t>
            </w:r>
          </w:p>
        </w:tc>
        <w:tc>
          <w:tcPr>
            <w:tcW w:w="1350" w:type="dxa"/>
            <w:tcBorders>
              <w:top w:val="nil"/>
              <w:left w:val="nil"/>
              <w:bottom w:val="single" w:sz="4" w:space="0" w:color="auto"/>
              <w:right w:val="single" w:sz="4" w:space="0" w:color="auto"/>
            </w:tcBorders>
            <w:shd w:val="clear" w:color="auto" w:fill="auto"/>
            <w:vAlign w:val="center"/>
            <w:hideMark/>
          </w:tcPr>
          <w:p w14:paraId="67624795"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692</w:t>
            </w:r>
          </w:p>
        </w:tc>
        <w:tc>
          <w:tcPr>
            <w:tcW w:w="953" w:type="dxa"/>
            <w:tcBorders>
              <w:top w:val="nil"/>
              <w:left w:val="nil"/>
              <w:bottom w:val="single" w:sz="4" w:space="0" w:color="auto"/>
              <w:right w:val="single" w:sz="4" w:space="0" w:color="auto"/>
            </w:tcBorders>
            <w:shd w:val="clear" w:color="auto" w:fill="auto"/>
            <w:vAlign w:val="center"/>
            <w:hideMark/>
          </w:tcPr>
          <w:p w14:paraId="4060FCB7"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0.89</w:t>
            </w:r>
          </w:p>
        </w:tc>
        <w:tc>
          <w:tcPr>
            <w:tcW w:w="1109" w:type="dxa"/>
            <w:tcBorders>
              <w:top w:val="nil"/>
              <w:left w:val="nil"/>
              <w:bottom w:val="single" w:sz="4" w:space="0" w:color="auto"/>
              <w:right w:val="single" w:sz="4" w:space="0" w:color="auto"/>
            </w:tcBorders>
            <w:shd w:val="clear" w:color="auto" w:fill="auto"/>
            <w:vAlign w:val="center"/>
            <w:hideMark/>
          </w:tcPr>
          <w:p w14:paraId="63CBCD4C"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-73</w:t>
            </w:r>
          </w:p>
        </w:tc>
        <w:tc>
          <w:tcPr>
            <w:tcW w:w="1223" w:type="dxa"/>
            <w:tcBorders>
              <w:top w:val="nil"/>
              <w:left w:val="nil"/>
              <w:bottom w:val="single" w:sz="4" w:space="0" w:color="auto"/>
              <w:right w:val="single" w:sz="4" w:space="0" w:color="auto"/>
            </w:tcBorders>
            <w:shd w:val="clear" w:color="auto" w:fill="auto"/>
            <w:vAlign w:val="center"/>
            <w:hideMark/>
          </w:tcPr>
          <w:p w14:paraId="1C8FCE21"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11%</w:t>
            </w:r>
          </w:p>
        </w:tc>
      </w:tr>
      <w:tr w:rsidR="009210B8" w:rsidRPr="007E01FD" w14:paraId="52752F4C"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5A15699D"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QLD</w:t>
            </w:r>
          </w:p>
        </w:tc>
        <w:tc>
          <w:tcPr>
            <w:tcW w:w="1073" w:type="dxa"/>
            <w:tcBorders>
              <w:top w:val="nil"/>
              <w:left w:val="nil"/>
              <w:bottom w:val="single" w:sz="4" w:space="0" w:color="auto"/>
              <w:right w:val="single" w:sz="4" w:space="0" w:color="auto"/>
            </w:tcBorders>
            <w:shd w:val="clear" w:color="auto" w:fill="auto"/>
            <w:vAlign w:val="center"/>
            <w:hideMark/>
          </w:tcPr>
          <w:p w14:paraId="0281A3ED"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461</w:t>
            </w:r>
          </w:p>
        </w:tc>
        <w:tc>
          <w:tcPr>
            <w:tcW w:w="1350" w:type="dxa"/>
            <w:tcBorders>
              <w:top w:val="nil"/>
              <w:left w:val="nil"/>
              <w:bottom w:val="single" w:sz="4" w:space="0" w:color="auto"/>
              <w:right w:val="single" w:sz="4" w:space="0" w:color="auto"/>
            </w:tcBorders>
            <w:shd w:val="clear" w:color="auto" w:fill="auto"/>
            <w:vAlign w:val="center"/>
            <w:hideMark/>
          </w:tcPr>
          <w:p w14:paraId="427A6030"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434</w:t>
            </w:r>
          </w:p>
        </w:tc>
        <w:tc>
          <w:tcPr>
            <w:tcW w:w="953" w:type="dxa"/>
            <w:tcBorders>
              <w:top w:val="nil"/>
              <w:left w:val="nil"/>
              <w:bottom w:val="single" w:sz="4" w:space="0" w:color="auto"/>
              <w:right w:val="single" w:sz="4" w:space="0" w:color="auto"/>
            </w:tcBorders>
            <w:shd w:val="clear" w:color="auto" w:fill="auto"/>
            <w:vAlign w:val="center"/>
            <w:hideMark/>
          </w:tcPr>
          <w:p w14:paraId="6BC8E7E8"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1.06</w:t>
            </w:r>
          </w:p>
        </w:tc>
        <w:tc>
          <w:tcPr>
            <w:tcW w:w="1109" w:type="dxa"/>
            <w:tcBorders>
              <w:top w:val="nil"/>
              <w:left w:val="nil"/>
              <w:bottom w:val="single" w:sz="4" w:space="0" w:color="auto"/>
              <w:right w:val="single" w:sz="4" w:space="0" w:color="auto"/>
            </w:tcBorders>
            <w:shd w:val="clear" w:color="auto" w:fill="auto"/>
            <w:vAlign w:val="center"/>
            <w:hideMark/>
          </w:tcPr>
          <w:p w14:paraId="1575914A"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27</w:t>
            </w:r>
          </w:p>
        </w:tc>
        <w:tc>
          <w:tcPr>
            <w:tcW w:w="1223" w:type="dxa"/>
            <w:tcBorders>
              <w:top w:val="nil"/>
              <w:left w:val="nil"/>
              <w:bottom w:val="single" w:sz="4" w:space="0" w:color="auto"/>
              <w:right w:val="single" w:sz="4" w:space="0" w:color="auto"/>
            </w:tcBorders>
            <w:shd w:val="clear" w:color="auto" w:fill="auto"/>
            <w:vAlign w:val="center"/>
            <w:hideMark/>
          </w:tcPr>
          <w:p w14:paraId="5A538DD6"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6%</w:t>
            </w:r>
          </w:p>
        </w:tc>
      </w:tr>
      <w:tr w:rsidR="009210B8" w:rsidRPr="007E01FD" w14:paraId="35A4946A"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74A4474E"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SA/NT</w:t>
            </w:r>
          </w:p>
        </w:tc>
        <w:tc>
          <w:tcPr>
            <w:tcW w:w="1073" w:type="dxa"/>
            <w:tcBorders>
              <w:top w:val="nil"/>
              <w:left w:val="nil"/>
              <w:bottom w:val="single" w:sz="4" w:space="0" w:color="auto"/>
              <w:right w:val="single" w:sz="4" w:space="0" w:color="auto"/>
            </w:tcBorders>
            <w:shd w:val="clear" w:color="auto" w:fill="auto"/>
            <w:vAlign w:val="center"/>
            <w:hideMark/>
          </w:tcPr>
          <w:p w14:paraId="5D506D3A"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223</w:t>
            </w:r>
          </w:p>
        </w:tc>
        <w:tc>
          <w:tcPr>
            <w:tcW w:w="1350" w:type="dxa"/>
            <w:tcBorders>
              <w:top w:val="nil"/>
              <w:left w:val="nil"/>
              <w:bottom w:val="single" w:sz="4" w:space="0" w:color="auto"/>
              <w:right w:val="single" w:sz="4" w:space="0" w:color="auto"/>
            </w:tcBorders>
            <w:shd w:val="clear" w:color="auto" w:fill="auto"/>
            <w:vAlign w:val="center"/>
            <w:hideMark/>
          </w:tcPr>
          <w:p w14:paraId="717B2781"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221</w:t>
            </w:r>
          </w:p>
        </w:tc>
        <w:tc>
          <w:tcPr>
            <w:tcW w:w="953" w:type="dxa"/>
            <w:tcBorders>
              <w:top w:val="nil"/>
              <w:left w:val="nil"/>
              <w:bottom w:val="single" w:sz="4" w:space="0" w:color="auto"/>
              <w:right w:val="single" w:sz="4" w:space="0" w:color="auto"/>
            </w:tcBorders>
            <w:shd w:val="clear" w:color="auto" w:fill="auto"/>
            <w:vAlign w:val="center"/>
            <w:hideMark/>
          </w:tcPr>
          <w:p w14:paraId="1CA76D1C"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1.0</w:t>
            </w:r>
            <w:r>
              <w:rPr>
                <w:rFonts w:cs="Calibri"/>
                <w:sz w:val="18"/>
                <w:szCs w:val="18"/>
                <w:lang w:eastAsia="en-AU"/>
              </w:rPr>
              <w:t>1</w:t>
            </w:r>
          </w:p>
        </w:tc>
        <w:tc>
          <w:tcPr>
            <w:tcW w:w="1109" w:type="dxa"/>
            <w:tcBorders>
              <w:top w:val="nil"/>
              <w:left w:val="nil"/>
              <w:bottom w:val="single" w:sz="4" w:space="0" w:color="auto"/>
              <w:right w:val="single" w:sz="4" w:space="0" w:color="auto"/>
            </w:tcBorders>
            <w:shd w:val="clear" w:color="auto" w:fill="auto"/>
            <w:vAlign w:val="center"/>
            <w:hideMark/>
          </w:tcPr>
          <w:p w14:paraId="5E119EB7"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w:t>
            </w:r>
          </w:p>
        </w:tc>
        <w:tc>
          <w:tcPr>
            <w:tcW w:w="1223" w:type="dxa"/>
            <w:tcBorders>
              <w:top w:val="nil"/>
              <w:left w:val="nil"/>
              <w:bottom w:val="single" w:sz="4" w:space="0" w:color="auto"/>
              <w:right w:val="single" w:sz="4" w:space="0" w:color="auto"/>
            </w:tcBorders>
            <w:shd w:val="clear" w:color="auto" w:fill="auto"/>
            <w:vAlign w:val="center"/>
            <w:hideMark/>
          </w:tcPr>
          <w:p w14:paraId="6502C0A0"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w:t>
            </w:r>
          </w:p>
        </w:tc>
      </w:tr>
      <w:tr w:rsidR="009210B8" w:rsidRPr="007E01FD" w14:paraId="56F79735"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05DE7BA1"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WA</w:t>
            </w:r>
          </w:p>
        </w:tc>
        <w:tc>
          <w:tcPr>
            <w:tcW w:w="1073" w:type="dxa"/>
            <w:tcBorders>
              <w:top w:val="nil"/>
              <w:left w:val="nil"/>
              <w:bottom w:val="single" w:sz="4" w:space="0" w:color="auto"/>
              <w:right w:val="single" w:sz="4" w:space="0" w:color="auto"/>
            </w:tcBorders>
            <w:shd w:val="clear" w:color="auto" w:fill="auto"/>
            <w:vAlign w:val="center"/>
            <w:hideMark/>
          </w:tcPr>
          <w:p w14:paraId="43399027"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300</w:t>
            </w:r>
          </w:p>
        </w:tc>
        <w:tc>
          <w:tcPr>
            <w:tcW w:w="1350" w:type="dxa"/>
            <w:tcBorders>
              <w:top w:val="nil"/>
              <w:left w:val="nil"/>
              <w:bottom w:val="single" w:sz="4" w:space="0" w:color="auto"/>
              <w:right w:val="single" w:sz="4" w:space="0" w:color="auto"/>
            </w:tcBorders>
            <w:shd w:val="clear" w:color="auto" w:fill="auto"/>
            <w:vAlign w:val="center"/>
            <w:hideMark/>
          </w:tcPr>
          <w:p w14:paraId="125BF8A5"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296</w:t>
            </w:r>
          </w:p>
        </w:tc>
        <w:tc>
          <w:tcPr>
            <w:tcW w:w="953" w:type="dxa"/>
            <w:tcBorders>
              <w:top w:val="nil"/>
              <w:left w:val="nil"/>
              <w:bottom w:val="single" w:sz="4" w:space="0" w:color="auto"/>
              <w:right w:val="single" w:sz="4" w:space="0" w:color="auto"/>
            </w:tcBorders>
            <w:shd w:val="clear" w:color="auto" w:fill="auto"/>
            <w:vAlign w:val="center"/>
            <w:hideMark/>
          </w:tcPr>
          <w:p w14:paraId="6D5E8890"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1.01</w:t>
            </w:r>
          </w:p>
        </w:tc>
        <w:tc>
          <w:tcPr>
            <w:tcW w:w="1109" w:type="dxa"/>
            <w:tcBorders>
              <w:top w:val="nil"/>
              <w:left w:val="nil"/>
              <w:bottom w:val="single" w:sz="4" w:space="0" w:color="auto"/>
              <w:right w:val="single" w:sz="4" w:space="0" w:color="auto"/>
            </w:tcBorders>
            <w:shd w:val="clear" w:color="auto" w:fill="auto"/>
            <w:vAlign w:val="center"/>
            <w:hideMark/>
          </w:tcPr>
          <w:p w14:paraId="5EA9E61C"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4</w:t>
            </w:r>
          </w:p>
        </w:tc>
        <w:tc>
          <w:tcPr>
            <w:tcW w:w="1223" w:type="dxa"/>
            <w:tcBorders>
              <w:top w:val="nil"/>
              <w:left w:val="nil"/>
              <w:bottom w:val="single" w:sz="4" w:space="0" w:color="auto"/>
              <w:right w:val="single" w:sz="4" w:space="0" w:color="auto"/>
            </w:tcBorders>
            <w:shd w:val="clear" w:color="auto" w:fill="auto"/>
            <w:vAlign w:val="center"/>
            <w:hideMark/>
          </w:tcPr>
          <w:p w14:paraId="36EDAC4B"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w:t>
            </w:r>
          </w:p>
        </w:tc>
      </w:tr>
      <w:tr w:rsidR="009210B8" w:rsidRPr="007E01FD" w14:paraId="708E02C3"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000000" w:fill="E7E6E6"/>
            <w:vAlign w:val="center"/>
            <w:hideMark/>
          </w:tcPr>
          <w:p w14:paraId="73709D8C"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Total</w:t>
            </w:r>
          </w:p>
        </w:tc>
        <w:tc>
          <w:tcPr>
            <w:tcW w:w="1073" w:type="dxa"/>
            <w:tcBorders>
              <w:top w:val="nil"/>
              <w:left w:val="nil"/>
              <w:bottom w:val="single" w:sz="4" w:space="0" w:color="auto"/>
              <w:right w:val="single" w:sz="4" w:space="0" w:color="auto"/>
            </w:tcBorders>
            <w:shd w:val="clear" w:color="000000" w:fill="E7E6E6"/>
            <w:vAlign w:val="center"/>
            <w:hideMark/>
          </w:tcPr>
          <w:p w14:paraId="42590722"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2,451</w:t>
            </w:r>
          </w:p>
        </w:tc>
        <w:tc>
          <w:tcPr>
            <w:tcW w:w="1350" w:type="dxa"/>
            <w:tcBorders>
              <w:top w:val="nil"/>
              <w:left w:val="nil"/>
              <w:bottom w:val="single" w:sz="4" w:space="0" w:color="auto"/>
              <w:right w:val="single" w:sz="4" w:space="0" w:color="auto"/>
            </w:tcBorders>
            <w:shd w:val="clear" w:color="000000" w:fill="E7E6E6"/>
            <w:vAlign w:val="center"/>
            <w:hideMark/>
          </w:tcPr>
          <w:p w14:paraId="6C73862E"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2,51</w:t>
            </w:r>
            <w:r>
              <w:rPr>
                <w:rFonts w:cs="Calibri"/>
                <w:b/>
                <w:sz w:val="18"/>
                <w:szCs w:val="18"/>
                <w:lang w:eastAsia="en-AU"/>
              </w:rPr>
              <w:t>8</w:t>
            </w:r>
          </w:p>
        </w:tc>
        <w:tc>
          <w:tcPr>
            <w:tcW w:w="953" w:type="dxa"/>
            <w:tcBorders>
              <w:top w:val="nil"/>
              <w:left w:val="nil"/>
              <w:bottom w:val="single" w:sz="4" w:space="0" w:color="auto"/>
              <w:right w:val="single" w:sz="4" w:space="0" w:color="auto"/>
            </w:tcBorders>
            <w:shd w:val="clear" w:color="000000" w:fill="E7E6E6"/>
            <w:vAlign w:val="center"/>
            <w:hideMark/>
          </w:tcPr>
          <w:p w14:paraId="26EF82F5"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0.97</w:t>
            </w:r>
          </w:p>
        </w:tc>
        <w:tc>
          <w:tcPr>
            <w:tcW w:w="1109" w:type="dxa"/>
            <w:tcBorders>
              <w:top w:val="nil"/>
              <w:left w:val="nil"/>
              <w:bottom w:val="single" w:sz="4" w:space="0" w:color="auto"/>
              <w:right w:val="single" w:sz="4" w:space="0" w:color="auto"/>
            </w:tcBorders>
            <w:shd w:val="clear" w:color="000000" w:fill="E7E6E6"/>
            <w:vAlign w:val="center"/>
            <w:hideMark/>
          </w:tcPr>
          <w:p w14:paraId="4D7FA860"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-6</w:t>
            </w:r>
            <w:r>
              <w:rPr>
                <w:rFonts w:cs="Calibri"/>
                <w:b/>
                <w:sz w:val="18"/>
                <w:szCs w:val="18"/>
                <w:lang w:eastAsia="en-AU"/>
              </w:rPr>
              <w:t>7</w:t>
            </w:r>
          </w:p>
        </w:tc>
        <w:tc>
          <w:tcPr>
            <w:tcW w:w="1223" w:type="dxa"/>
            <w:tcBorders>
              <w:top w:val="nil"/>
              <w:left w:val="nil"/>
              <w:bottom w:val="single" w:sz="4" w:space="0" w:color="auto"/>
              <w:right w:val="single" w:sz="4" w:space="0" w:color="auto"/>
            </w:tcBorders>
            <w:shd w:val="clear" w:color="000000" w:fill="E7E6E6"/>
            <w:vAlign w:val="center"/>
            <w:hideMark/>
          </w:tcPr>
          <w:p w14:paraId="356B4DA2" w14:textId="77777777" w:rsidR="009210B8" w:rsidRPr="007E01FD" w:rsidRDefault="009210B8" w:rsidP="009210B8">
            <w:pPr>
              <w:spacing w:after="0" w:line="240" w:lineRule="auto"/>
              <w:jc w:val="right"/>
              <w:rPr>
                <w:rFonts w:cs="Calibri"/>
                <w:b/>
                <w:sz w:val="18"/>
                <w:szCs w:val="18"/>
                <w:lang w:eastAsia="en-AU"/>
              </w:rPr>
            </w:pPr>
            <w:r>
              <w:rPr>
                <w:rFonts w:cs="Calibri"/>
                <w:b/>
                <w:sz w:val="18"/>
                <w:szCs w:val="18"/>
                <w:lang w:eastAsia="en-AU"/>
              </w:rPr>
              <w:t>-</w:t>
            </w:r>
            <w:r w:rsidRPr="007E01FD">
              <w:rPr>
                <w:rFonts w:cs="Calibri"/>
                <w:b/>
                <w:sz w:val="18"/>
                <w:szCs w:val="18"/>
                <w:lang w:eastAsia="en-AU"/>
              </w:rPr>
              <w:t>3%</w:t>
            </w:r>
          </w:p>
        </w:tc>
      </w:tr>
      <w:tr w:rsidR="009210B8" w:rsidRPr="007E01FD" w14:paraId="6E42D34D" w14:textId="77777777" w:rsidTr="009210B8">
        <w:trPr>
          <w:trHeight w:val="290"/>
        </w:trPr>
        <w:tc>
          <w:tcPr>
            <w:tcW w:w="7356" w:type="dxa"/>
            <w:gridSpan w:val="7"/>
            <w:tcBorders>
              <w:top w:val="single" w:sz="4" w:space="0" w:color="auto"/>
              <w:left w:val="single" w:sz="4" w:space="0" w:color="auto"/>
              <w:bottom w:val="single" w:sz="4" w:space="0" w:color="auto"/>
              <w:right w:val="single" w:sz="4" w:space="0" w:color="auto"/>
            </w:tcBorders>
            <w:shd w:val="clear" w:color="000000" w:fill="A6A6A6"/>
            <w:vAlign w:val="center"/>
            <w:hideMark/>
          </w:tcPr>
          <w:p w14:paraId="130CD48D"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Liver cancer</w:t>
            </w:r>
          </w:p>
        </w:tc>
      </w:tr>
      <w:tr w:rsidR="009210B8" w:rsidRPr="007E01FD" w14:paraId="05C7B4EC"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14B12603"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NSW/ACT</w:t>
            </w:r>
          </w:p>
        </w:tc>
        <w:tc>
          <w:tcPr>
            <w:tcW w:w="1073" w:type="dxa"/>
            <w:tcBorders>
              <w:top w:val="nil"/>
              <w:left w:val="nil"/>
              <w:bottom w:val="single" w:sz="4" w:space="0" w:color="auto"/>
              <w:right w:val="single" w:sz="4" w:space="0" w:color="auto"/>
            </w:tcBorders>
            <w:shd w:val="clear" w:color="auto" w:fill="auto"/>
            <w:vAlign w:val="center"/>
            <w:hideMark/>
          </w:tcPr>
          <w:p w14:paraId="6B0C1070"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580</w:t>
            </w:r>
          </w:p>
        </w:tc>
        <w:tc>
          <w:tcPr>
            <w:tcW w:w="1350" w:type="dxa"/>
            <w:tcBorders>
              <w:top w:val="nil"/>
              <w:left w:val="nil"/>
              <w:bottom w:val="single" w:sz="4" w:space="0" w:color="auto"/>
              <w:right w:val="single" w:sz="4" w:space="0" w:color="auto"/>
            </w:tcBorders>
            <w:shd w:val="clear" w:color="auto" w:fill="auto"/>
            <w:vAlign w:val="center"/>
            <w:hideMark/>
          </w:tcPr>
          <w:p w14:paraId="48DF803D"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607</w:t>
            </w:r>
          </w:p>
        </w:tc>
        <w:tc>
          <w:tcPr>
            <w:tcW w:w="953" w:type="dxa"/>
            <w:tcBorders>
              <w:top w:val="nil"/>
              <w:left w:val="nil"/>
              <w:bottom w:val="single" w:sz="4" w:space="0" w:color="auto"/>
              <w:right w:val="single" w:sz="4" w:space="0" w:color="auto"/>
            </w:tcBorders>
            <w:shd w:val="clear" w:color="auto" w:fill="auto"/>
            <w:vAlign w:val="center"/>
            <w:hideMark/>
          </w:tcPr>
          <w:p w14:paraId="41477F33"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0.9</w:t>
            </w:r>
            <w:r>
              <w:rPr>
                <w:rFonts w:cs="Calibri"/>
                <w:sz w:val="18"/>
                <w:szCs w:val="18"/>
                <w:lang w:eastAsia="en-AU"/>
              </w:rPr>
              <w:t>6</w:t>
            </w:r>
          </w:p>
        </w:tc>
        <w:tc>
          <w:tcPr>
            <w:tcW w:w="1109" w:type="dxa"/>
            <w:tcBorders>
              <w:top w:val="nil"/>
              <w:left w:val="nil"/>
              <w:bottom w:val="single" w:sz="4" w:space="0" w:color="auto"/>
              <w:right w:val="single" w:sz="4" w:space="0" w:color="auto"/>
            </w:tcBorders>
            <w:shd w:val="clear" w:color="auto" w:fill="auto"/>
            <w:vAlign w:val="center"/>
            <w:hideMark/>
          </w:tcPr>
          <w:p w14:paraId="6EE7959A"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-27</w:t>
            </w:r>
          </w:p>
        </w:tc>
        <w:tc>
          <w:tcPr>
            <w:tcW w:w="1223" w:type="dxa"/>
            <w:tcBorders>
              <w:top w:val="nil"/>
              <w:left w:val="nil"/>
              <w:bottom w:val="single" w:sz="4" w:space="0" w:color="auto"/>
              <w:right w:val="single" w:sz="4" w:space="0" w:color="auto"/>
            </w:tcBorders>
            <w:shd w:val="clear" w:color="auto" w:fill="auto"/>
            <w:vAlign w:val="center"/>
            <w:hideMark/>
          </w:tcPr>
          <w:p w14:paraId="45631920"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4%</w:t>
            </w:r>
          </w:p>
        </w:tc>
      </w:tr>
      <w:tr w:rsidR="009210B8" w:rsidRPr="007E01FD" w14:paraId="0DD535DC"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59748279"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VIC/TAS</w:t>
            </w:r>
          </w:p>
        </w:tc>
        <w:tc>
          <w:tcPr>
            <w:tcW w:w="1073" w:type="dxa"/>
            <w:tcBorders>
              <w:top w:val="nil"/>
              <w:left w:val="nil"/>
              <w:bottom w:val="single" w:sz="4" w:space="0" w:color="auto"/>
              <w:right w:val="single" w:sz="4" w:space="0" w:color="auto"/>
            </w:tcBorders>
            <w:shd w:val="clear" w:color="auto" w:fill="auto"/>
            <w:vAlign w:val="center"/>
            <w:hideMark/>
          </w:tcPr>
          <w:p w14:paraId="65BE3365"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430</w:t>
            </w:r>
          </w:p>
        </w:tc>
        <w:tc>
          <w:tcPr>
            <w:tcW w:w="1350" w:type="dxa"/>
            <w:tcBorders>
              <w:top w:val="nil"/>
              <w:left w:val="nil"/>
              <w:bottom w:val="single" w:sz="4" w:space="0" w:color="auto"/>
              <w:right w:val="single" w:sz="4" w:space="0" w:color="auto"/>
            </w:tcBorders>
            <w:shd w:val="clear" w:color="auto" w:fill="auto"/>
            <w:vAlign w:val="center"/>
            <w:hideMark/>
          </w:tcPr>
          <w:p w14:paraId="4CC6A8EB"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380</w:t>
            </w:r>
          </w:p>
        </w:tc>
        <w:tc>
          <w:tcPr>
            <w:tcW w:w="953" w:type="dxa"/>
            <w:tcBorders>
              <w:top w:val="nil"/>
              <w:left w:val="nil"/>
              <w:bottom w:val="single" w:sz="4" w:space="0" w:color="auto"/>
              <w:right w:val="single" w:sz="4" w:space="0" w:color="auto"/>
            </w:tcBorders>
            <w:shd w:val="clear" w:color="auto" w:fill="auto"/>
            <w:vAlign w:val="center"/>
            <w:hideMark/>
          </w:tcPr>
          <w:p w14:paraId="7C4B298B"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1.13</w:t>
            </w:r>
          </w:p>
        </w:tc>
        <w:tc>
          <w:tcPr>
            <w:tcW w:w="1109" w:type="dxa"/>
            <w:tcBorders>
              <w:top w:val="nil"/>
              <w:left w:val="nil"/>
              <w:bottom w:val="single" w:sz="4" w:space="0" w:color="auto"/>
              <w:right w:val="single" w:sz="4" w:space="0" w:color="auto"/>
            </w:tcBorders>
            <w:shd w:val="clear" w:color="auto" w:fill="auto"/>
            <w:vAlign w:val="center"/>
            <w:hideMark/>
          </w:tcPr>
          <w:p w14:paraId="6A85A218"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50</w:t>
            </w:r>
          </w:p>
        </w:tc>
        <w:tc>
          <w:tcPr>
            <w:tcW w:w="1223" w:type="dxa"/>
            <w:tcBorders>
              <w:top w:val="nil"/>
              <w:left w:val="nil"/>
              <w:bottom w:val="single" w:sz="4" w:space="0" w:color="auto"/>
              <w:right w:val="single" w:sz="4" w:space="0" w:color="auto"/>
            </w:tcBorders>
            <w:shd w:val="clear" w:color="auto" w:fill="auto"/>
            <w:vAlign w:val="center"/>
            <w:hideMark/>
          </w:tcPr>
          <w:p w14:paraId="23A86270"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13%</w:t>
            </w:r>
          </w:p>
        </w:tc>
      </w:tr>
      <w:tr w:rsidR="009210B8" w:rsidRPr="007E01FD" w14:paraId="1428AF54"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4780043A"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QLD</w:t>
            </w:r>
          </w:p>
        </w:tc>
        <w:tc>
          <w:tcPr>
            <w:tcW w:w="1073" w:type="dxa"/>
            <w:tcBorders>
              <w:top w:val="nil"/>
              <w:left w:val="nil"/>
              <w:bottom w:val="single" w:sz="4" w:space="0" w:color="auto"/>
              <w:right w:val="single" w:sz="4" w:space="0" w:color="auto"/>
            </w:tcBorders>
            <w:shd w:val="clear" w:color="auto" w:fill="auto"/>
            <w:vAlign w:val="center"/>
            <w:hideMark/>
          </w:tcPr>
          <w:p w14:paraId="152EED9B"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232</w:t>
            </w:r>
          </w:p>
        </w:tc>
        <w:tc>
          <w:tcPr>
            <w:tcW w:w="1350" w:type="dxa"/>
            <w:tcBorders>
              <w:top w:val="nil"/>
              <w:left w:val="nil"/>
              <w:bottom w:val="single" w:sz="4" w:space="0" w:color="auto"/>
              <w:right w:val="single" w:sz="4" w:space="0" w:color="auto"/>
            </w:tcBorders>
            <w:shd w:val="clear" w:color="auto" w:fill="auto"/>
            <w:vAlign w:val="center"/>
            <w:hideMark/>
          </w:tcPr>
          <w:p w14:paraId="445E0031"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241</w:t>
            </w:r>
          </w:p>
        </w:tc>
        <w:tc>
          <w:tcPr>
            <w:tcW w:w="953" w:type="dxa"/>
            <w:tcBorders>
              <w:top w:val="nil"/>
              <w:left w:val="nil"/>
              <w:bottom w:val="single" w:sz="4" w:space="0" w:color="auto"/>
              <w:right w:val="single" w:sz="4" w:space="0" w:color="auto"/>
            </w:tcBorders>
            <w:shd w:val="clear" w:color="auto" w:fill="auto"/>
            <w:vAlign w:val="center"/>
            <w:hideMark/>
          </w:tcPr>
          <w:p w14:paraId="653A2A12"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0.96</w:t>
            </w:r>
          </w:p>
        </w:tc>
        <w:tc>
          <w:tcPr>
            <w:tcW w:w="1109" w:type="dxa"/>
            <w:tcBorders>
              <w:top w:val="nil"/>
              <w:left w:val="nil"/>
              <w:bottom w:val="single" w:sz="4" w:space="0" w:color="auto"/>
              <w:right w:val="single" w:sz="4" w:space="0" w:color="auto"/>
            </w:tcBorders>
            <w:shd w:val="clear" w:color="auto" w:fill="auto"/>
            <w:vAlign w:val="center"/>
            <w:hideMark/>
          </w:tcPr>
          <w:p w14:paraId="036CDF51"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-9</w:t>
            </w:r>
          </w:p>
        </w:tc>
        <w:tc>
          <w:tcPr>
            <w:tcW w:w="1223" w:type="dxa"/>
            <w:tcBorders>
              <w:top w:val="nil"/>
              <w:left w:val="nil"/>
              <w:bottom w:val="single" w:sz="4" w:space="0" w:color="auto"/>
              <w:right w:val="single" w:sz="4" w:space="0" w:color="auto"/>
            </w:tcBorders>
            <w:shd w:val="clear" w:color="auto" w:fill="auto"/>
            <w:vAlign w:val="center"/>
            <w:hideMark/>
          </w:tcPr>
          <w:p w14:paraId="02BFD3B0"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4%</w:t>
            </w:r>
          </w:p>
        </w:tc>
      </w:tr>
      <w:tr w:rsidR="009210B8" w:rsidRPr="007E01FD" w14:paraId="2F6071C3"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77DAD952"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SA/NT</w:t>
            </w:r>
          </w:p>
        </w:tc>
        <w:tc>
          <w:tcPr>
            <w:tcW w:w="1073" w:type="dxa"/>
            <w:tcBorders>
              <w:top w:val="nil"/>
              <w:left w:val="nil"/>
              <w:bottom w:val="single" w:sz="4" w:space="0" w:color="auto"/>
              <w:right w:val="single" w:sz="4" w:space="0" w:color="auto"/>
            </w:tcBorders>
            <w:shd w:val="clear" w:color="auto" w:fill="auto"/>
            <w:vAlign w:val="center"/>
            <w:hideMark/>
          </w:tcPr>
          <w:p w14:paraId="21D00B4A"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110</w:t>
            </w:r>
          </w:p>
        </w:tc>
        <w:tc>
          <w:tcPr>
            <w:tcW w:w="1350" w:type="dxa"/>
            <w:tcBorders>
              <w:top w:val="nil"/>
              <w:left w:val="nil"/>
              <w:bottom w:val="single" w:sz="4" w:space="0" w:color="auto"/>
              <w:right w:val="single" w:sz="4" w:space="0" w:color="auto"/>
            </w:tcBorders>
            <w:shd w:val="clear" w:color="auto" w:fill="auto"/>
            <w:vAlign w:val="center"/>
            <w:hideMark/>
          </w:tcPr>
          <w:p w14:paraId="454DC9F5"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99</w:t>
            </w:r>
          </w:p>
        </w:tc>
        <w:tc>
          <w:tcPr>
            <w:tcW w:w="953" w:type="dxa"/>
            <w:tcBorders>
              <w:top w:val="nil"/>
              <w:left w:val="nil"/>
              <w:bottom w:val="single" w:sz="4" w:space="0" w:color="auto"/>
              <w:right w:val="single" w:sz="4" w:space="0" w:color="auto"/>
            </w:tcBorders>
            <w:shd w:val="clear" w:color="auto" w:fill="auto"/>
            <w:vAlign w:val="center"/>
            <w:hideMark/>
          </w:tcPr>
          <w:p w14:paraId="54499F0F"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1.11</w:t>
            </w:r>
          </w:p>
        </w:tc>
        <w:tc>
          <w:tcPr>
            <w:tcW w:w="1109" w:type="dxa"/>
            <w:tcBorders>
              <w:top w:val="nil"/>
              <w:left w:val="nil"/>
              <w:bottom w:val="single" w:sz="4" w:space="0" w:color="auto"/>
              <w:right w:val="single" w:sz="4" w:space="0" w:color="auto"/>
            </w:tcBorders>
            <w:shd w:val="clear" w:color="auto" w:fill="auto"/>
            <w:vAlign w:val="center"/>
            <w:hideMark/>
          </w:tcPr>
          <w:p w14:paraId="2767E13C"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11</w:t>
            </w:r>
          </w:p>
        </w:tc>
        <w:tc>
          <w:tcPr>
            <w:tcW w:w="1223" w:type="dxa"/>
            <w:tcBorders>
              <w:top w:val="nil"/>
              <w:left w:val="nil"/>
              <w:bottom w:val="single" w:sz="4" w:space="0" w:color="auto"/>
              <w:right w:val="single" w:sz="4" w:space="0" w:color="auto"/>
            </w:tcBorders>
            <w:shd w:val="clear" w:color="auto" w:fill="auto"/>
            <w:vAlign w:val="center"/>
            <w:hideMark/>
          </w:tcPr>
          <w:p w14:paraId="57388C05"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11%</w:t>
            </w:r>
          </w:p>
        </w:tc>
      </w:tr>
      <w:tr w:rsidR="009210B8" w:rsidRPr="007E01FD" w14:paraId="7DF98C42"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21F9066E"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WA</w:t>
            </w:r>
          </w:p>
        </w:tc>
        <w:tc>
          <w:tcPr>
            <w:tcW w:w="1073" w:type="dxa"/>
            <w:tcBorders>
              <w:top w:val="nil"/>
              <w:left w:val="nil"/>
              <w:bottom w:val="single" w:sz="4" w:space="0" w:color="auto"/>
              <w:right w:val="single" w:sz="4" w:space="0" w:color="auto"/>
            </w:tcBorders>
            <w:shd w:val="clear" w:color="auto" w:fill="auto"/>
            <w:vAlign w:val="center"/>
            <w:hideMark/>
          </w:tcPr>
          <w:p w14:paraId="69787377"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155</w:t>
            </w:r>
          </w:p>
        </w:tc>
        <w:tc>
          <w:tcPr>
            <w:tcW w:w="1350" w:type="dxa"/>
            <w:tcBorders>
              <w:top w:val="nil"/>
              <w:left w:val="nil"/>
              <w:bottom w:val="single" w:sz="4" w:space="0" w:color="auto"/>
              <w:right w:val="single" w:sz="4" w:space="0" w:color="auto"/>
            </w:tcBorders>
            <w:shd w:val="clear" w:color="auto" w:fill="auto"/>
            <w:vAlign w:val="center"/>
            <w:hideMark/>
          </w:tcPr>
          <w:p w14:paraId="4CF27D56"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127</w:t>
            </w:r>
          </w:p>
        </w:tc>
        <w:tc>
          <w:tcPr>
            <w:tcW w:w="953" w:type="dxa"/>
            <w:tcBorders>
              <w:top w:val="nil"/>
              <w:left w:val="nil"/>
              <w:bottom w:val="single" w:sz="4" w:space="0" w:color="auto"/>
              <w:right w:val="single" w:sz="4" w:space="0" w:color="auto"/>
            </w:tcBorders>
            <w:shd w:val="clear" w:color="auto" w:fill="auto"/>
            <w:vAlign w:val="center"/>
            <w:hideMark/>
          </w:tcPr>
          <w:p w14:paraId="0DBF35AB"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1.22</w:t>
            </w:r>
          </w:p>
        </w:tc>
        <w:tc>
          <w:tcPr>
            <w:tcW w:w="1109" w:type="dxa"/>
            <w:tcBorders>
              <w:top w:val="nil"/>
              <w:left w:val="nil"/>
              <w:bottom w:val="single" w:sz="4" w:space="0" w:color="auto"/>
              <w:right w:val="single" w:sz="4" w:space="0" w:color="auto"/>
            </w:tcBorders>
            <w:shd w:val="clear" w:color="auto" w:fill="auto"/>
            <w:vAlign w:val="center"/>
            <w:hideMark/>
          </w:tcPr>
          <w:p w14:paraId="7B7AAA66"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28</w:t>
            </w:r>
          </w:p>
        </w:tc>
        <w:tc>
          <w:tcPr>
            <w:tcW w:w="1223" w:type="dxa"/>
            <w:tcBorders>
              <w:top w:val="nil"/>
              <w:left w:val="nil"/>
              <w:bottom w:val="single" w:sz="4" w:space="0" w:color="auto"/>
              <w:right w:val="single" w:sz="4" w:space="0" w:color="auto"/>
            </w:tcBorders>
            <w:shd w:val="clear" w:color="auto" w:fill="auto"/>
            <w:vAlign w:val="center"/>
            <w:hideMark/>
          </w:tcPr>
          <w:p w14:paraId="2BE7FD9F"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22%</w:t>
            </w:r>
          </w:p>
        </w:tc>
      </w:tr>
      <w:tr w:rsidR="009210B8" w:rsidRPr="007E01FD" w14:paraId="3C08770E"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000000" w:fill="E7E6E6"/>
            <w:vAlign w:val="center"/>
            <w:hideMark/>
          </w:tcPr>
          <w:p w14:paraId="6986B576"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Total</w:t>
            </w:r>
          </w:p>
        </w:tc>
        <w:tc>
          <w:tcPr>
            <w:tcW w:w="1073" w:type="dxa"/>
            <w:tcBorders>
              <w:top w:val="nil"/>
              <w:left w:val="nil"/>
              <w:bottom w:val="single" w:sz="4" w:space="0" w:color="auto"/>
              <w:right w:val="single" w:sz="4" w:space="0" w:color="auto"/>
            </w:tcBorders>
            <w:shd w:val="clear" w:color="000000" w:fill="E7E6E6"/>
            <w:vAlign w:val="center"/>
            <w:hideMark/>
          </w:tcPr>
          <w:p w14:paraId="6FEC68E0"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1,507</w:t>
            </w:r>
          </w:p>
        </w:tc>
        <w:tc>
          <w:tcPr>
            <w:tcW w:w="1350" w:type="dxa"/>
            <w:tcBorders>
              <w:top w:val="nil"/>
              <w:left w:val="nil"/>
              <w:bottom w:val="single" w:sz="4" w:space="0" w:color="auto"/>
              <w:right w:val="single" w:sz="4" w:space="0" w:color="auto"/>
            </w:tcBorders>
            <w:shd w:val="clear" w:color="000000" w:fill="E7E6E6"/>
            <w:vAlign w:val="center"/>
            <w:hideMark/>
          </w:tcPr>
          <w:p w14:paraId="5B8040A0"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1,454</w:t>
            </w:r>
          </w:p>
        </w:tc>
        <w:tc>
          <w:tcPr>
            <w:tcW w:w="953" w:type="dxa"/>
            <w:tcBorders>
              <w:top w:val="nil"/>
              <w:left w:val="nil"/>
              <w:bottom w:val="single" w:sz="4" w:space="0" w:color="auto"/>
              <w:right w:val="single" w:sz="4" w:space="0" w:color="auto"/>
            </w:tcBorders>
            <w:shd w:val="clear" w:color="000000" w:fill="E7E6E6"/>
            <w:vAlign w:val="center"/>
            <w:hideMark/>
          </w:tcPr>
          <w:p w14:paraId="623C1FA7"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1.0</w:t>
            </w:r>
            <w:r>
              <w:rPr>
                <w:rFonts w:cs="Calibri"/>
                <w:b/>
                <w:sz w:val="18"/>
                <w:szCs w:val="18"/>
                <w:lang w:eastAsia="en-AU"/>
              </w:rPr>
              <w:t>4</w:t>
            </w:r>
          </w:p>
        </w:tc>
        <w:tc>
          <w:tcPr>
            <w:tcW w:w="1109" w:type="dxa"/>
            <w:tcBorders>
              <w:top w:val="nil"/>
              <w:left w:val="nil"/>
              <w:bottom w:val="single" w:sz="4" w:space="0" w:color="auto"/>
              <w:right w:val="single" w:sz="4" w:space="0" w:color="auto"/>
            </w:tcBorders>
            <w:shd w:val="clear" w:color="000000" w:fill="E7E6E6"/>
            <w:vAlign w:val="center"/>
            <w:hideMark/>
          </w:tcPr>
          <w:p w14:paraId="3797283A"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53</w:t>
            </w:r>
          </w:p>
        </w:tc>
        <w:tc>
          <w:tcPr>
            <w:tcW w:w="1223" w:type="dxa"/>
            <w:tcBorders>
              <w:top w:val="nil"/>
              <w:left w:val="nil"/>
              <w:bottom w:val="single" w:sz="4" w:space="0" w:color="auto"/>
              <w:right w:val="single" w:sz="4" w:space="0" w:color="auto"/>
            </w:tcBorders>
            <w:shd w:val="clear" w:color="000000" w:fill="E7E6E6"/>
            <w:vAlign w:val="center"/>
            <w:hideMark/>
          </w:tcPr>
          <w:p w14:paraId="3CEF1BC0"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4%</w:t>
            </w:r>
          </w:p>
        </w:tc>
      </w:tr>
      <w:tr w:rsidR="009210B8" w:rsidRPr="0055027D" w14:paraId="54D69A14" w14:textId="77777777" w:rsidTr="009210B8">
        <w:trPr>
          <w:trHeight w:val="290"/>
        </w:trPr>
        <w:tc>
          <w:tcPr>
            <w:tcW w:w="7356" w:type="dxa"/>
            <w:gridSpan w:val="7"/>
            <w:tcBorders>
              <w:top w:val="single" w:sz="4" w:space="0" w:color="auto"/>
              <w:left w:val="single" w:sz="4" w:space="0" w:color="auto"/>
              <w:bottom w:val="single" w:sz="4" w:space="0" w:color="auto"/>
              <w:right w:val="single" w:sz="4" w:space="0" w:color="auto"/>
            </w:tcBorders>
            <w:shd w:val="clear" w:color="000000" w:fill="A6A6A6"/>
            <w:vAlign w:val="center"/>
            <w:hideMark/>
          </w:tcPr>
          <w:p w14:paraId="2BCC39EA"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Lung cancer</w:t>
            </w:r>
          </w:p>
        </w:tc>
      </w:tr>
      <w:tr w:rsidR="009210B8" w:rsidRPr="0055027D" w14:paraId="24AB1E13"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47E1C376"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NSW/ACT</w:t>
            </w:r>
          </w:p>
        </w:tc>
        <w:tc>
          <w:tcPr>
            <w:tcW w:w="1073" w:type="dxa"/>
            <w:tcBorders>
              <w:top w:val="nil"/>
              <w:left w:val="nil"/>
              <w:bottom w:val="single" w:sz="4" w:space="0" w:color="auto"/>
              <w:right w:val="single" w:sz="4" w:space="0" w:color="auto"/>
            </w:tcBorders>
            <w:shd w:val="clear" w:color="auto" w:fill="auto"/>
            <w:vAlign w:val="center"/>
            <w:hideMark/>
          </w:tcPr>
          <w:p w14:paraId="3B1469AC"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1,107</w:t>
            </w:r>
          </w:p>
        </w:tc>
        <w:tc>
          <w:tcPr>
            <w:tcW w:w="1350" w:type="dxa"/>
            <w:tcBorders>
              <w:top w:val="nil"/>
              <w:left w:val="nil"/>
              <w:bottom w:val="single" w:sz="4" w:space="0" w:color="auto"/>
              <w:right w:val="single" w:sz="4" w:space="0" w:color="auto"/>
            </w:tcBorders>
            <w:shd w:val="clear" w:color="auto" w:fill="auto"/>
            <w:vAlign w:val="center"/>
            <w:hideMark/>
          </w:tcPr>
          <w:p w14:paraId="1926C33A"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1,065</w:t>
            </w:r>
          </w:p>
        </w:tc>
        <w:tc>
          <w:tcPr>
            <w:tcW w:w="953" w:type="dxa"/>
            <w:tcBorders>
              <w:top w:val="nil"/>
              <w:left w:val="nil"/>
              <w:bottom w:val="single" w:sz="4" w:space="0" w:color="auto"/>
              <w:right w:val="single" w:sz="4" w:space="0" w:color="auto"/>
            </w:tcBorders>
            <w:shd w:val="clear" w:color="auto" w:fill="auto"/>
            <w:vAlign w:val="center"/>
            <w:hideMark/>
          </w:tcPr>
          <w:p w14:paraId="7F1C5671"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1.0</w:t>
            </w:r>
            <w:r>
              <w:rPr>
                <w:rFonts w:cs="Calibri"/>
                <w:sz w:val="18"/>
                <w:szCs w:val="18"/>
                <w:lang w:eastAsia="en-AU"/>
              </w:rPr>
              <w:t>4</w:t>
            </w:r>
          </w:p>
        </w:tc>
        <w:tc>
          <w:tcPr>
            <w:tcW w:w="1109" w:type="dxa"/>
            <w:tcBorders>
              <w:top w:val="nil"/>
              <w:left w:val="nil"/>
              <w:bottom w:val="single" w:sz="4" w:space="0" w:color="auto"/>
              <w:right w:val="single" w:sz="4" w:space="0" w:color="auto"/>
            </w:tcBorders>
            <w:shd w:val="clear" w:color="auto" w:fill="auto"/>
            <w:vAlign w:val="center"/>
            <w:hideMark/>
          </w:tcPr>
          <w:p w14:paraId="7D2D2D1A"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42</w:t>
            </w:r>
          </w:p>
        </w:tc>
        <w:tc>
          <w:tcPr>
            <w:tcW w:w="1223" w:type="dxa"/>
            <w:tcBorders>
              <w:top w:val="nil"/>
              <w:left w:val="nil"/>
              <w:bottom w:val="single" w:sz="4" w:space="0" w:color="auto"/>
              <w:right w:val="single" w:sz="4" w:space="0" w:color="auto"/>
            </w:tcBorders>
            <w:shd w:val="clear" w:color="auto" w:fill="auto"/>
            <w:vAlign w:val="center"/>
            <w:hideMark/>
          </w:tcPr>
          <w:p w14:paraId="4928289E"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4%</w:t>
            </w:r>
          </w:p>
        </w:tc>
      </w:tr>
      <w:tr w:rsidR="009210B8" w:rsidRPr="0055027D" w14:paraId="174BFF30"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53AD8F39"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VIC/TAS</w:t>
            </w:r>
          </w:p>
        </w:tc>
        <w:tc>
          <w:tcPr>
            <w:tcW w:w="1073" w:type="dxa"/>
            <w:tcBorders>
              <w:top w:val="nil"/>
              <w:left w:val="nil"/>
              <w:bottom w:val="single" w:sz="4" w:space="0" w:color="auto"/>
              <w:right w:val="single" w:sz="4" w:space="0" w:color="auto"/>
            </w:tcBorders>
            <w:shd w:val="clear" w:color="auto" w:fill="auto"/>
            <w:vAlign w:val="center"/>
            <w:hideMark/>
          </w:tcPr>
          <w:p w14:paraId="445C731F"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1,336</w:t>
            </w:r>
          </w:p>
        </w:tc>
        <w:tc>
          <w:tcPr>
            <w:tcW w:w="1350" w:type="dxa"/>
            <w:tcBorders>
              <w:top w:val="nil"/>
              <w:left w:val="nil"/>
              <w:bottom w:val="single" w:sz="4" w:space="0" w:color="auto"/>
              <w:right w:val="single" w:sz="4" w:space="0" w:color="auto"/>
            </w:tcBorders>
            <w:shd w:val="clear" w:color="auto" w:fill="auto"/>
            <w:vAlign w:val="center"/>
            <w:hideMark/>
          </w:tcPr>
          <w:p w14:paraId="29B937F1"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1,224</w:t>
            </w:r>
          </w:p>
        </w:tc>
        <w:tc>
          <w:tcPr>
            <w:tcW w:w="953" w:type="dxa"/>
            <w:tcBorders>
              <w:top w:val="nil"/>
              <w:left w:val="nil"/>
              <w:bottom w:val="single" w:sz="4" w:space="0" w:color="auto"/>
              <w:right w:val="single" w:sz="4" w:space="0" w:color="auto"/>
            </w:tcBorders>
            <w:shd w:val="clear" w:color="auto" w:fill="auto"/>
            <w:vAlign w:val="center"/>
            <w:hideMark/>
          </w:tcPr>
          <w:p w14:paraId="41A3DD8F"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1.09</w:t>
            </w:r>
          </w:p>
        </w:tc>
        <w:tc>
          <w:tcPr>
            <w:tcW w:w="1109" w:type="dxa"/>
            <w:tcBorders>
              <w:top w:val="nil"/>
              <w:left w:val="nil"/>
              <w:bottom w:val="single" w:sz="4" w:space="0" w:color="auto"/>
              <w:right w:val="single" w:sz="4" w:space="0" w:color="auto"/>
            </w:tcBorders>
            <w:shd w:val="clear" w:color="auto" w:fill="auto"/>
            <w:vAlign w:val="center"/>
            <w:hideMark/>
          </w:tcPr>
          <w:p w14:paraId="46779BF4"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112</w:t>
            </w:r>
          </w:p>
        </w:tc>
        <w:tc>
          <w:tcPr>
            <w:tcW w:w="1223" w:type="dxa"/>
            <w:tcBorders>
              <w:top w:val="nil"/>
              <w:left w:val="nil"/>
              <w:bottom w:val="single" w:sz="4" w:space="0" w:color="auto"/>
              <w:right w:val="single" w:sz="4" w:space="0" w:color="auto"/>
            </w:tcBorders>
            <w:shd w:val="clear" w:color="auto" w:fill="auto"/>
            <w:vAlign w:val="center"/>
            <w:hideMark/>
          </w:tcPr>
          <w:p w14:paraId="75A6B3C8"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9%</w:t>
            </w:r>
          </w:p>
        </w:tc>
      </w:tr>
      <w:tr w:rsidR="009210B8" w:rsidRPr="0055027D" w14:paraId="33BD7A74"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59898DE8"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QLD</w:t>
            </w:r>
          </w:p>
        </w:tc>
        <w:tc>
          <w:tcPr>
            <w:tcW w:w="1073" w:type="dxa"/>
            <w:tcBorders>
              <w:top w:val="nil"/>
              <w:left w:val="nil"/>
              <w:bottom w:val="single" w:sz="4" w:space="0" w:color="auto"/>
              <w:right w:val="single" w:sz="4" w:space="0" w:color="auto"/>
            </w:tcBorders>
            <w:shd w:val="clear" w:color="auto" w:fill="auto"/>
            <w:vAlign w:val="center"/>
            <w:hideMark/>
          </w:tcPr>
          <w:p w14:paraId="0D15E356"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444</w:t>
            </w:r>
          </w:p>
        </w:tc>
        <w:tc>
          <w:tcPr>
            <w:tcW w:w="1350" w:type="dxa"/>
            <w:tcBorders>
              <w:top w:val="nil"/>
              <w:left w:val="nil"/>
              <w:bottom w:val="single" w:sz="4" w:space="0" w:color="auto"/>
              <w:right w:val="single" w:sz="4" w:space="0" w:color="auto"/>
            </w:tcBorders>
            <w:shd w:val="clear" w:color="auto" w:fill="auto"/>
            <w:vAlign w:val="center"/>
            <w:hideMark/>
          </w:tcPr>
          <w:p w14:paraId="1BBF1CDB"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590</w:t>
            </w:r>
          </w:p>
        </w:tc>
        <w:tc>
          <w:tcPr>
            <w:tcW w:w="953" w:type="dxa"/>
            <w:tcBorders>
              <w:top w:val="nil"/>
              <w:left w:val="nil"/>
              <w:bottom w:val="single" w:sz="4" w:space="0" w:color="auto"/>
              <w:right w:val="single" w:sz="4" w:space="0" w:color="auto"/>
            </w:tcBorders>
            <w:shd w:val="clear" w:color="auto" w:fill="auto"/>
            <w:vAlign w:val="center"/>
            <w:hideMark/>
          </w:tcPr>
          <w:p w14:paraId="0DC2C365"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0.75</w:t>
            </w:r>
          </w:p>
        </w:tc>
        <w:tc>
          <w:tcPr>
            <w:tcW w:w="1109" w:type="dxa"/>
            <w:tcBorders>
              <w:top w:val="nil"/>
              <w:left w:val="nil"/>
              <w:bottom w:val="single" w:sz="4" w:space="0" w:color="auto"/>
              <w:right w:val="single" w:sz="4" w:space="0" w:color="auto"/>
            </w:tcBorders>
            <w:shd w:val="clear" w:color="auto" w:fill="auto"/>
            <w:vAlign w:val="center"/>
            <w:hideMark/>
          </w:tcPr>
          <w:p w14:paraId="03CEB843"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-146</w:t>
            </w:r>
          </w:p>
        </w:tc>
        <w:tc>
          <w:tcPr>
            <w:tcW w:w="1223" w:type="dxa"/>
            <w:tcBorders>
              <w:top w:val="nil"/>
              <w:left w:val="nil"/>
              <w:bottom w:val="single" w:sz="4" w:space="0" w:color="auto"/>
              <w:right w:val="single" w:sz="4" w:space="0" w:color="auto"/>
            </w:tcBorders>
            <w:shd w:val="clear" w:color="auto" w:fill="auto"/>
            <w:vAlign w:val="center"/>
            <w:hideMark/>
          </w:tcPr>
          <w:p w14:paraId="2C7F8927"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25%</w:t>
            </w:r>
          </w:p>
        </w:tc>
      </w:tr>
      <w:tr w:rsidR="009210B8" w:rsidRPr="0055027D" w14:paraId="669E4170"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070F9374"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SA/NT</w:t>
            </w:r>
          </w:p>
        </w:tc>
        <w:tc>
          <w:tcPr>
            <w:tcW w:w="1073" w:type="dxa"/>
            <w:tcBorders>
              <w:top w:val="nil"/>
              <w:left w:val="nil"/>
              <w:bottom w:val="single" w:sz="4" w:space="0" w:color="auto"/>
              <w:right w:val="single" w:sz="4" w:space="0" w:color="auto"/>
            </w:tcBorders>
            <w:shd w:val="clear" w:color="auto" w:fill="auto"/>
            <w:vAlign w:val="center"/>
            <w:hideMark/>
          </w:tcPr>
          <w:p w14:paraId="7B987E69"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292</w:t>
            </w:r>
          </w:p>
        </w:tc>
        <w:tc>
          <w:tcPr>
            <w:tcW w:w="1350" w:type="dxa"/>
            <w:tcBorders>
              <w:top w:val="nil"/>
              <w:left w:val="nil"/>
              <w:bottom w:val="single" w:sz="4" w:space="0" w:color="auto"/>
              <w:right w:val="single" w:sz="4" w:space="0" w:color="auto"/>
            </w:tcBorders>
            <w:shd w:val="clear" w:color="auto" w:fill="auto"/>
            <w:vAlign w:val="center"/>
            <w:hideMark/>
          </w:tcPr>
          <w:p w14:paraId="243687F8"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239</w:t>
            </w:r>
          </w:p>
        </w:tc>
        <w:tc>
          <w:tcPr>
            <w:tcW w:w="953" w:type="dxa"/>
            <w:tcBorders>
              <w:top w:val="nil"/>
              <w:left w:val="nil"/>
              <w:bottom w:val="single" w:sz="4" w:space="0" w:color="auto"/>
              <w:right w:val="single" w:sz="4" w:space="0" w:color="auto"/>
            </w:tcBorders>
            <w:shd w:val="clear" w:color="auto" w:fill="auto"/>
            <w:vAlign w:val="center"/>
            <w:hideMark/>
          </w:tcPr>
          <w:p w14:paraId="5B0AF874"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1.22</w:t>
            </w:r>
          </w:p>
        </w:tc>
        <w:tc>
          <w:tcPr>
            <w:tcW w:w="1109" w:type="dxa"/>
            <w:tcBorders>
              <w:top w:val="nil"/>
              <w:left w:val="nil"/>
              <w:bottom w:val="single" w:sz="4" w:space="0" w:color="auto"/>
              <w:right w:val="single" w:sz="4" w:space="0" w:color="auto"/>
            </w:tcBorders>
            <w:shd w:val="clear" w:color="auto" w:fill="auto"/>
            <w:vAlign w:val="center"/>
            <w:hideMark/>
          </w:tcPr>
          <w:p w14:paraId="4EEA5F4B"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53</w:t>
            </w:r>
          </w:p>
        </w:tc>
        <w:tc>
          <w:tcPr>
            <w:tcW w:w="1223" w:type="dxa"/>
            <w:tcBorders>
              <w:top w:val="nil"/>
              <w:left w:val="nil"/>
              <w:bottom w:val="single" w:sz="4" w:space="0" w:color="auto"/>
              <w:right w:val="single" w:sz="4" w:space="0" w:color="auto"/>
            </w:tcBorders>
            <w:shd w:val="clear" w:color="auto" w:fill="auto"/>
            <w:vAlign w:val="center"/>
            <w:hideMark/>
          </w:tcPr>
          <w:p w14:paraId="1056A255"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22%</w:t>
            </w:r>
          </w:p>
        </w:tc>
      </w:tr>
      <w:tr w:rsidR="009210B8" w:rsidRPr="0055027D" w14:paraId="7A14FA05"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6041461E"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WA</w:t>
            </w:r>
          </w:p>
        </w:tc>
        <w:tc>
          <w:tcPr>
            <w:tcW w:w="1073" w:type="dxa"/>
            <w:tcBorders>
              <w:top w:val="nil"/>
              <w:left w:val="nil"/>
              <w:bottom w:val="single" w:sz="4" w:space="0" w:color="auto"/>
              <w:right w:val="single" w:sz="4" w:space="0" w:color="auto"/>
            </w:tcBorders>
            <w:shd w:val="clear" w:color="auto" w:fill="auto"/>
            <w:vAlign w:val="center"/>
            <w:hideMark/>
          </w:tcPr>
          <w:p w14:paraId="432BE456"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517</w:t>
            </w:r>
          </w:p>
        </w:tc>
        <w:tc>
          <w:tcPr>
            <w:tcW w:w="1350" w:type="dxa"/>
            <w:tcBorders>
              <w:top w:val="nil"/>
              <w:left w:val="nil"/>
              <w:bottom w:val="single" w:sz="4" w:space="0" w:color="auto"/>
              <w:right w:val="single" w:sz="4" w:space="0" w:color="auto"/>
            </w:tcBorders>
            <w:shd w:val="clear" w:color="auto" w:fill="auto"/>
            <w:vAlign w:val="center"/>
            <w:hideMark/>
          </w:tcPr>
          <w:p w14:paraId="05E37F41"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510</w:t>
            </w:r>
          </w:p>
        </w:tc>
        <w:tc>
          <w:tcPr>
            <w:tcW w:w="953" w:type="dxa"/>
            <w:tcBorders>
              <w:top w:val="nil"/>
              <w:left w:val="nil"/>
              <w:bottom w:val="single" w:sz="4" w:space="0" w:color="auto"/>
              <w:right w:val="single" w:sz="4" w:space="0" w:color="auto"/>
            </w:tcBorders>
            <w:shd w:val="clear" w:color="auto" w:fill="auto"/>
            <w:vAlign w:val="center"/>
            <w:hideMark/>
          </w:tcPr>
          <w:p w14:paraId="03958316"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1.01</w:t>
            </w:r>
          </w:p>
        </w:tc>
        <w:tc>
          <w:tcPr>
            <w:tcW w:w="1109" w:type="dxa"/>
            <w:tcBorders>
              <w:top w:val="nil"/>
              <w:left w:val="nil"/>
              <w:bottom w:val="single" w:sz="4" w:space="0" w:color="auto"/>
              <w:right w:val="single" w:sz="4" w:space="0" w:color="auto"/>
            </w:tcBorders>
            <w:shd w:val="clear" w:color="auto" w:fill="auto"/>
            <w:vAlign w:val="center"/>
            <w:hideMark/>
          </w:tcPr>
          <w:p w14:paraId="19D28563"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7</w:t>
            </w:r>
          </w:p>
        </w:tc>
        <w:tc>
          <w:tcPr>
            <w:tcW w:w="1223" w:type="dxa"/>
            <w:tcBorders>
              <w:top w:val="nil"/>
              <w:left w:val="nil"/>
              <w:bottom w:val="single" w:sz="4" w:space="0" w:color="auto"/>
              <w:right w:val="single" w:sz="4" w:space="0" w:color="auto"/>
            </w:tcBorders>
            <w:shd w:val="clear" w:color="auto" w:fill="auto"/>
            <w:vAlign w:val="center"/>
            <w:hideMark/>
          </w:tcPr>
          <w:p w14:paraId="3C53E8C1"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w:t>
            </w:r>
          </w:p>
        </w:tc>
      </w:tr>
      <w:tr w:rsidR="009210B8" w:rsidRPr="0055027D" w14:paraId="6CAEF0E0"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000000" w:fill="E7E6E6"/>
            <w:vAlign w:val="center"/>
            <w:hideMark/>
          </w:tcPr>
          <w:p w14:paraId="11C87DB7"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Total</w:t>
            </w:r>
          </w:p>
        </w:tc>
        <w:tc>
          <w:tcPr>
            <w:tcW w:w="1073" w:type="dxa"/>
            <w:tcBorders>
              <w:top w:val="nil"/>
              <w:left w:val="nil"/>
              <w:bottom w:val="single" w:sz="4" w:space="0" w:color="auto"/>
              <w:right w:val="single" w:sz="4" w:space="0" w:color="auto"/>
            </w:tcBorders>
            <w:shd w:val="clear" w:color="000000" w:fill="E7E6E6"/>
            <w:vAlign w:val="center"/>
            <w:hideMark/>
          </w:tcPr>
          <w:p w14:paraId="538B9E89"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3,696</w:t>
            </w:r>
          </w:p>
        </w:tc>
        <w:tc>
          <w:tcPr>
            <w:tcW w:w="1350" w:type="dxa"/>
            <w:tcBorders>
              <w:top w:val="nil"/>
              <w:left w:val="nil"/>
              <w:bottom w:val="single" w:sz="4" w:space="0" w:color="auto"/>
              <w:right w:val="single" w:sz="4" w:space="0" w:color="auto"/>
            </w:tcBorders>
            <w:shd w:val="clear" w:color="000000" w:fill="E7E6E6"/>
            <w:vAlign w:val="center"/>
            <w:hideMark/>
          </w:tcPr>
          <w:p w14:paraId="2E4DCB6E"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3,628</w:t>
            </w:r>
          </w:p>
        </w:tc>
        <w:tc>
          <w:tcPr>
            <w:tcW w:w="953" w:type="dxa"/>
            <w:tcBorders>
              <w:top w:val="nil"/>
              <w:left w:val="nil"/>
              <w:bottom w:val="single" w:sz="4" w:space="0" w:color="auto"/>
              <w:right w:val="single" w:sz="4" w:space="0" w:color="auto"/>
            </w:tcBorders>
            <w:shd w:val="clear" w:color="000000" w:fill="E7E6E6"/>
            <w:vAlign w:val="center"/>
            <w:hideMark/>
          </w:tcPr>
          <w:p w14:paraId="798216BF"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1.0</w:t>
            </w:r>
            <w:r>
              <w:rPr>
                <w:rFonts w:cs="Calibri"/>
                <w:b/>
                <w:sz w:val="18"/>
                <w:szCs w:val="18"/>
                <w:lang w:eastAsia="en-AU"/>
              </w:rPr>
              <w:t>2</w:t>
            </w:r>
          </w:p>
        </w:tc>
        <w:tc>
          <w:tcPr>
            <w:tcW w:w="1109" w:type="dxa"/>
            <w:tcBorders>
              <w:top w:val="nil"/>
              <w:left w:val="nil"/>
              <w:bottom w:val="single" w:sz="4" w:space="0" w:color="auto"/>
              <w:right w:val="single" w:sz="4" w:space="0" w:color="auto"/>
            </w:tcBorders>
            <w:shd w:val="clear" w:color="000000" w:fill="E7E6E6"/>
            <w:vAlign w:val="center"/>
            <w:hideMark/>
          </w:tcPr>
          <w:p w14:paraId="0EAF8AC9"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68</w:t>
            </w:r>
          </w:p>
        </w:tc>
        <w:tc>
          <w:tcPr>
            <w:tcW w:w="1223" w:type="dxa"/>
            <w:tcBorders>
              <w:top w:val="nil"/>
              <w:left w:val="nil"/>
              <w:bottom w:val="single" w:sz="4" w:space="0" w:color="auto"/>
              <w:right w:val="single" w:sz="4" w:space="0" w:color="auto"/>
            </w:tcBorders>
            <w:shd w:val="clear" w:color="000000" w:fill="E7E6E6"/>
            <w:vAlign w:val="center"/>
            <w:hideMark/>
          </w:tcPr>
          <w:p w14:paraId="7F6BFBFC"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2%</w:t>
            </w:r>
          </w:p>
        </w:tc>
      </w:tr>
      <w:tr w:rsidR="009210B8" w:rsidRPr="0055027D" w14:paraId="6CCE4E2C" w14:textId="77777777" w:rsidTr="009210B8">
        <w:trPr>
          <w:trHeight w:val="290"/>
        </w:trPr>
        <w:tc>
          <w:tcPr>
            <w:tcW w:w="7356" w:type="dxa"/>
            <w:gridSpan w:val="7"/>
            <w:tcBorders>
              <w:top w:val="single" w:sz="4" w:space="0" w:color="auto"/>
              <w:left w:val="single" w:sz="4" w:space="0" w:color="auto"/>
              <w:bottom w:val="single" w:sz="4" w:space="0" w:color="auto"/>
              <w:right w:val="single" w:sz="4" w:space="0" w:color="auto"/>
            </w:tcBorders>
            <w:shd w:val="clear" w:color="000000" w:fill="A6A6A6"/>
            <w:vAlign w:val="center"/>
            <w:hideMark/>
          </w:tcPr>
          <w:p w14:paraId="0E5BA4CF" w14:textId="77777777" w:rsidR="009210B8" w:rsidRPr="007E01FD" w:rsidRDefault="009210B8" w:rsidP="009210B8">
            <w:pPr>
              <w:spacing w:after="0" w:line="240" w:lineRule="auto"/>
              <w:rPr>
                <w:rFonts w:cs="Calibri"/>
                <w:b/>
                <w:sz w:val="18"/>
                <w:szCs w:val="18"/>
                <w:lang w:eastAsia="en-AU"/>
              </w:rPr>
            </w:pPr>
            <w:r>
              <w:rPr>
                <w:rFonts w:cs="Calibri"/>
                <w:b/>
                <w:sz w:val="18"/>
                <w:szCs w:val="18"/>
                <w:lang w:eastAsia="en-AU"/>
              </w:rPr>
              <w:lastRenderedPageBreak/>
              <w:t>Melanoma skin cancers</w:t>
            </w:r>
            <w:r>
              <w:rPr>
                <w:rStyle w:val="FootnoteReference"/>
                <w:rFonts w:cs="Calibri"/>
                <w:b/>
                <w:sz w:val="18"/>
                <w:szCs w:val="18"/>
                <w:lang w:eastAsia="en-AU"/>
              </w:rPr>
              <w:footnoteReference w:id="42"/>
            </w:r>
          </w:p>
        </w:tc>
      </w:tr>
      <w:tr w:rsidR="009210B8" w:rsidRPr="0055027D" w14:paraId="6A0BE2DF"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4199D7EF"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NSW/ACT</w:t>
            </w:r>
          </w:p>
        </w:tc>
        <w:tc>
          <w:tcPr>
            <w:tcW w:w="1073" w:type="dxa"/>
            <w:tcBorders>
              <w:top w:val="nil"/>
              <w:left w:val="nil"/>
              <w:bottom w:val="single" w:sz="4" w:space="0" w:color="auto"/>
              <w:right w:val="single" w:sz="4" w:space="0" w:color="auto"/>
            </w:tcBorders>
            <w:shd w:val="clear" w:color="auto" w:fill="auto"/>
            <w:vAlign w:val="center"/>
            <w:hideMark/>
          </w:tcPr>
          <w:p w14:paraId="45FDBFAB"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25,296</w:t>
            </w:r>
          </w:p>
        </w:tc>
        <w:tc>
          <w:tcPr>
            <w:tcW w:w="1350" w:type="dxa"/>
            <w:tcBorders>
              <w:top w:val="nil"/>
              <w:left w:val="nil"/>
              <w:bottom w:val="single" w:sz="4" w:space="0" w:color="auto"/>
              <w:right w:val="single" w:sz="4" w:space="0" w:color="auto"/>
            </w:tcBorders>
            <w:shd w:val="clear" w:color="auto" w:fill="auto"/>
            <w:vAlign w:val="center"/>
            <w:hideMark/>
          </w:tcPr>
          <w:p w14:paraId="32AEE6C7"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29,000</w:t>
            </w:r>
          </w:p>
        </w:tc>
        <w:tc>
          <w:tcPr>
            <w:tcW w:w="953" w:type="dxa"/>
            <w:tcBorders>
              <w:top w:val="nil"/>
              <w:left w:val="nil"/>
              <w:bottom w:val="single" w:sz="4" w:space="0" w:color="auto"/>
              <w:right w:val="single" w:sz="4" w:space="0" w:color="auto"/>
            </w:tcBorders>
            <w:shd w:val="clear" w:color="auto" w:fill="auto"/>
            <w:vAlign w:val="center"/>
            <w:hideMark/>
          </w:tcPr>
          <w:p w14:paraId="7AD82A18"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0.87</w:t>
            </w:r>
          </w:p>
        </w:tc>
        <w:tc>
          <w:tcPr>
            <w:tcW w:w="1109" w:type="dxa"/>
            <w:tcBorders>
              <w:top w:val="nil"/>
              <w:left w:val="nil"/>
              <w:bottom w:val="single" w:sz="4" w:space="0" w:color="auto"/>
              <w:right w:val="single" w:sz="4" w:space="0" w:color="auto"/>
            </w:tcBorders>
            <w:shd w:val="clear" w:color="auto" w:fill="auto"/>
            <w:vAlign w:val="center"/>
            <w:hideMark/>
          </w:tcPr>
          <w:p w14:paraId="51D3D7B3"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-3,704</w:t>
            </w:r>
          </w:p>
        </w:tc>
        <w:tc>
          <w:tcPr>
            <w:tcW w:w="1223" w:type="dxa"/>
            <w:tcBorders>
              <w:top w:val="nil"/>
              <w:left w:val="nil"/>
              <w:bottom w:val="single" w:sz="4" w:space="0" w:color="auto"/>
              <w:right w:val="single" w:sz="4" w:space="0" w:color="auto"/>
            </w:tcBorders>
            <w:shd w:val="clear" w:color="auto" w:fill="auto"/>
            <w:vAlign w:val="center"/>
            <w:hideMark/>
          </w:tcPr>
          <w:p w14:paraId="4706C6F8"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13%</w:t>
            </w:r>
          </w:p>
        </w:tc>
      </w:tr>
      <w:tr w:rsidR="009210B8" w:rsidRPr="0055027D" w14:paraId="4A35FDE7"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650B697D"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VIC/TAS</w:t>
            </w:r>
          </w:p>
        </w:tc>
        <w:tc>
          <w:tcPr>
            <w:tcW w:w="1073" w:type="dxa"/>
            <w:tcBorders>
              <w:top w:val="nil"/>
              <w:left w:val="nil"/>
              <w:bottom w:val="single" w:sz="4" w:space="0" w:color="auto"/>
              <w:right w:val="single" w:sz="4" w:space="0" w:color="auto"/>
            </w:tcBorders>
            <w:shd w:val="clear" w:color="auto" w:fill="auto"/>
            <w:vAlign w:val="center"/>
            <w:hideMark/>
          </w:tcPr>
          <w:p w14:paraId="01DAD082"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12,196</w:t>
            </w:r>
          </w:p>
        </w:tc>
        <w:tc>
          <w:tcPr>
            <w:tcW w:w="1350" w:type="dxa"/>
            <w:tcBorders>
              <w:top w:val="nil"/>
              <w:left w:val="nil"/>
              <w:bottom w:val="single" w:sz="4" w:space="0" w:color="auto"/>
              <w:right w:val="single" w:sz="4" w:space="0" w:color="auto"/>
            </w:tcBorders>
            <w:shd w:val="clear" w:color="auto" w:fill="auto"/>
            <w:vAlign w:val="center"/>
            <w:hideMark/>
          </w:tcPr>
          <w:p w14:paraId="427DB483"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13,770</w:t>
            </w:r>
          </w:p>
        </w:tc>
        <w:tc>
          <w:tcPr>
            <w:tcW w:w="953" w:type="dxa"/>
            <w:tcBorders>
              <w:top w:val="nil"/>
              <w:left w:val="nil"/>
              <w:bottom w:val="single" w:sz="4" w:space="0" w:color="auto"/>
              <w:right w:val="single" w:sz="4" w:space="0" w:color="auto"/>
            </w:tcBorders>
            <w:shd w:val="clear" w:color="auto" w:fill="auto"/>
            <w:vAlign w:val="center"/>
            <w:hideMark/>
          </w:tcPr>
          <w:p w14:paraId="6B82E2A7"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0.8</w:t>
            </w:r>
            <w:r>
              <w:rPr>
                <w:rFonts w:cs="Calibri"/>
                <w:sz w:val="18"/>
                <w:szCs w:val="18"/>
                <w:lang w:eastAsia="en-AU"/>
              </w:rPr>
              <w:t>9</w:t>
            </w:r>
          </w:p>
        </w:tc>
        <w:tc>
          <w:tcPr>
            <w:tcW w:w="1109" w:type="dxa"/>
            <w:tcBorders>
              <w:top w:val="nil"/>
              <w:left w:val="nil"/>
              <w:bottom w:val="single" w:sz="4" w:space="0" w:color="auto"/>
              <w:right w:val="single" w:sz="4" w:space="0" w:color="auto"/>
            </w:tcBorders>
            <w:shd w:val="clear" w:color="auto" w:fill="auto"/>
            <w:vAlign w:val="center"/>
            <w:hideMark/>
          </w:tcPr>
          <w:p w14:paraId="173E0214"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-1,574</w:t>
            </w:r>
          </w:p>
        </w:tc>
        <w:tc>
          <w:tcPr>
            <w:tcW w:w="1223" w:type="dxa"/>
            <w:tcBorders>
              <w:top w:val="nil"/>
              <w:left w:val="nil"/>
              <w:bottom w:val="single" w:sz="4" w:space="0" w:color="auto"/>
              <w:right w:val="single" w:sz="4" w:space="0" w:color="auto"/>
            </w:tcBorders>
            <w:shd w:val="clear" w:color="auto" w:fill="auto"/>
            <w:vAlign w:val="center"/>
            <w:hideMark/>
          </w:tcPr>
          <w:p w14:paraId="40E271D6"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11%</w:t>
            </w:r>
          </w:p>
        </w:tc>
      </w:tr>
      <w:tr w:rsidR="009210B8" w:rsidRPr="0055027D" w14:paraId="10EC822C"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145A549F"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QLD</w:t>
            </w:r>
          </w:p>
        </w:tc>
        <w:tc>
          <w:tcPr>
            <w:tcW w:w="1073" w:type="dxa"/>
            <w:tcBorders>
              <w:top w:val="nil"/>
              <w:left w:val="nil"/>
              <w:bottom w:val="single" w:sz="4" w:space="0" w:color="auto"/>
              <w:right w:val="single" w:sz="4" w:space="0" w:color="auto"/>
            </w:tcBorders>
            <w:shd w:val="clear" w:color="auto" w:fill="auto"/>
            <w:vAlign w:val="center"/>
            <w:hideMark/>
          </w:tcPr>
          <w:p w14:paraId="686D1919"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19,975</w:t>
            </w:r>
          </w:p>
        </w:tc>
        <w:tc>
          <w:tcPr>
            <w:tcW w:w="1350" w:type="dxa"/>
            <w:tcBorders>
              <w:top w:val="nil"/>
              <w:left w:val="nil"/>
              <w:bottom w:val="single" w:sz="4" w:space="0" w:color="auto"/>
              <w:right w:val="single" w:sz="4" w:space="0" w:color="auto"/>
            </w:tcBorders>
            <w:shd w:val="clear" w:color="auto" w:fill="auto"/>
            <w:vAlign w:val="center"/>
            <w:hideMark/>
          </w:tcPr>
          <w:p w14:paraId="3C68BCE8"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23,999</w:t>
            </w:r>
          </w:p>
        </w:tc>
        <w:tc>
          <w:tcPr>
            <w:tcW w:w="953" w:type="dxa"/>
            <w:tcBorders>
              <w:top w:val="nil"/>
              <w:left w:val="nil"/>
              <w:bottom w:val="single" w:sz="4" w:space="0" w:color="auto"/>
              <w:right w:val="single" w:sz="4" w:space="0" w:color="auto"/>
            </w:tcBorders>
            <w:shd w:val="clear" w:color="auto" w:fill="auto"/>
            <w:vAlign w:val="center"/>
            <w:hideMark/>
          </w:tcPr>
          <w:p w14:paraId="1923EE8B"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0.83</w:t>
            </w:r>
          </w:p>
        </w:tc>
        <w:tc>
          <w:tcPr>
            <w:tcW w:w="1109" w:type="dxa"/>
            <w:tcBorders>
              <w:top w:val="nil"/>
              <w:left w:val="nil"/>
              <w:bottom w:val="single" w:sz="4" w:space="0" w:color="auto"/>
              <w:right w:val="single" w:sz="4" w:space="0" w:color="auto"/>
            </w:tcBorders>
            <w:shd w:val="clear" w:color="auto" w:fill="auto"/>
            <w:vAlign w:val="center"/>
            <w:hideMark/>
          </w:tcPr>
          <w:p w14:paraId="1283114E"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-4,024</w:t>
            </w:r>
          </w:p>
        </w:tc>
        <w:tc>
          <w:tcPr>
            <w:tcW w:w="1223" w:type="dxa"/>
            <w:tcBorders>
              <w:top w:val="nil"/>
              <w:left w:val="nil"/>
              <w:bottom w:val="single" w:sz="4" w:space="0" w:color="auto"/>
              <w:right w:val="single" w:sz="4" w:space="0" w:color="auto"/>
            </w:tcBorders>
            <w:shd w:val="clear" w:color="auto" w:fill="auto"/>
            <w:vAlign w:val="center"/>
            <w:hideMark/>
          </w:tcPr>
          <w:p w14:paraId="493BA9C3"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17%</w:t>
            </w:r>
          </w:p>
        </w:tc>
      </w:tr>
      <w:tr w:rsidR="009210B8" w:rsidRPr="0055027D" w14:paraId="7B49BA35"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5C4A8DC7"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SA/NT</w:t>
            </w:r>
          </w:p>
        </w:tc>
        <w:tc>
          <w:tcPr>
            <w:tcW w:w="1073" w:type="dxa"/>
            <w:tcBorders>
              <w:top w:val="nil"/>
              <w:left w:val="nil"/>
              <w:bottom w:val="single" w:sz="4" w:space="0" w:color="auto"/>
              <w:right w:val="single" w:sz="4" w:space="0" w:color="auto"/>
            </w:tcBorders>
            <w:shd w:val="clear" w:color="auto" w:fill="auto"/>
            <w:vAlign w:val="center"/>
            <w:hideMark/>
          </w:tcPr>
          <w:p w14:paraId="332DE32F"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3,619</w:t>
            </w:r>
          </w:p>
        </w:tc>
        <w:tc>
          <w:tcPr>
            <w:tcW w:w="1350" w:type="dxa"/>
            <w:tcBorders>
              <w:top w:val="nil"/>
              <w:left w:val="nil"/>
              <w:bottom w:val="single" w:sz="4" w:space="0" w:color="auto"/>
              <w:right w:val="single" w:sz="4" w:space="0" w:color="auto"/>
            </w:tcBorders>
            <w:shd w:val="clear" w:color="auto" w:fill="auto"/>
            <w:vAlign w:val="center"/>
            <w:hideMark/>
          </w:tcPr>
          <w:p w14:paraId="02715E64"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4,269</w:t>
            </w:r>
          </w:p>
        </w:tc>
        <w:tc>
          <w:tcPr>
            <w:tcW w:w="953" w:type="dxa"/>
            <w:tcBorders>
              <w:top w:val="nil"/>
              <w:left w:val="nil"/>
              <w:bottom w:val="single" w:sz="4" w:space="0" w:color="auto"/>
              <w:right w:val="single" w:sz="4" w:space="0" w:color="auto"/>
            </w:tcBorders>
            <w:shd w:val="clear" w:color="auto" w:fill="auto"/>
            <w:vAlign w:val="center"/>
            <w:hideMark/>
          </w:tcPr>
          <w:p w14:paraId="523ECD69"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0.8</w:t>
            </w:r>
            <w:r>
              <w:rPr>
                <w:rFonts w:cs="Calibri"/>
                <w:sz w:val="18"/>
                <w:szCs w:val="18"/>
                <w:lang w:eastAsia="en-AU"/>
              </w:rPr>
              <w:t>5</w:t>
            </w:r>
          </w:p>
        </w:tc>
        <w:tc>
          <w:tcPr>
            <w:tcW w:w="1109" w:type="dxa"/>
            <w:tcBorders>
              <w:top w:val="nil"/>
              <w:left w:val="nil"/>
              <w:bottom w:val="single" w:sz="4" w:space="0" w:color="auto"/>
              <w:right w:val="single" w:sz="4" w:space="0" w:color="auto"/>
            </w:tcBorders>
            <w:shd w:val="clear" w:color="auto" w:fill="auto"/>
            <w:vAlign w:val="center"/>
            <w:hideMark/>
          </w:tcPr>
          <w:p w14:paraId="4E5B1FFE"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-650</w:t>
            </w:r>
          </w:p>
        </w:tc>
        <w:tc>
          <w:tcPr>
            <w:tcW w:w="1223" w:type="dxa"/>
            <w:tcBorders>
              <w:top w:val="nil"/>
              <w:left w:val="nil"/>
              <w:bottom w:val="single" w:sz="4" w:space="0" w:color="auto"/>
              <w:right w:val="single" w:sz="4" w:space="0" w:color="auto"/>
            </w:tcBorders>
            <w:shd w:val="clear" w:color="auto" w:fill="auto"/>
            <w:vAlign w:val="center"/>
            <w:hideMark/>
          </w:tcPr>
          <w:p w14:paraId="18E744DE"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15%</w:t>
            </w:r>
          </w:p>
        </w:tc>
      </w:tr>
      <w:tr w:rsidR="009210B8" w:rsidRPr="0055027D" w14:paraId="1368AF64"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567980FC"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WA</w:t>
            </w:r>
          </w:p>
        </w:tc>
        <w:tc>
          <w:tcPr>
            <w:tcW w:w="1073" w:type="dxa"/>
            <w:tcBorders>
              <w:top w:val="nil"/>
              <w:left w:val="nil"/>
              <w:bottom w:val="single" w:sz="4" w:space="0" w:color="auto"/>
              <w:right w:val="single" w:sz="4" w:space="0" w:color="auto"/>
            </w:tcBorders>
            <w:shd w:val="clear" w:color="auto" w:fill="auto"/>
            <w:vAlign w:val="center"/>
            <w:hideMark/>
          </w:tcPr>
          <w:p w14:paraId="0E561599"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7,045</w:t>
            </w:r>
          </w:p>
        </w:tc>
        <w:tc>
          <w:tcPr>
            <w:tcW w:w="1350" w:type="dxa"/>
            <w:tcBorders>
              <w:top w:val="nil"/>
              <w:left w:val="nil"/>
              <w:bottom w:val="single" w:sz="4" w:space="0" w:color="auto"/>
              <w:right w:val="single" w:sz="4" w:space="0" w:color="auto"/>
            </w:tcBorders>
            <w:shd w:val="clear" w:color="auto" w:fill="auto"/>
            <w:vAlign w:val="center"/>
            <w:hideMark/>
          </w:tcPr>
          <w:p w14:paraId="17873E17"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8,339</w:t>
            </w:r>
          </w:p>
        </w:tc>
        <w:tc>
          <w:tcPr>
            <w:tcW w:w="953" w:type="dxa"/>
            <w:tcBorders>
              <w:top w:val="nil"/>
              <w:left w:val="nil"/>
              <w:bottom w:val="single" w:sz="4" w:space="0" w:color="auto"/>
              <w:right w:val="single" w:sz="4" w:space="0" w:color="auto"/>
            </w:tcBorders>
            <w:shd w:val="clear" w:color="auto" w:fill="auto"/>
            <w:vAlign w:val="center"/>
            <w:hideMark/>
          </w:tcPr>
          <w:p w14:paraId="3A65B1FA"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0.84</w:t>
            </w:r>
          </w:p>
        </w:tc>
        <w:tc>
          <w:tcPr>
            <w:tcW w:w="1109" w:type="dxa"/>
            <w:tcBorders>
              <w:top w:val="nil"/>
              <w:left w:val="nil"/>
              <w:bottom w:val="single" w:sz="4" w:space="0" w:color="auto"/>
              <w:right w:val="single" w:sz="4" w:space="0" w:color="auto"/>
            </w:tcBorders>
            <w:shd w:val="clear" w:color="auto" w:fill="auto"/>
            <w:vAlign w:val="center"/>
            <w:hideMark/>
          </w:tcPr>
          <w:p w14:paraId="6A699172"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-1,294</w:t>
            </w:r>
          </w:p>
        </w:tc>
        <w:tc>
          <w:tcPr>
            <w:tcW w:w="1223" w:type="dxa"/>
            <w:tcBorders>
              <w:top w:val="nil"/>
              <w:left w:val="nil"/>
              <w:bottom w:val="single" w:sz="4" w:space="0" w:color="auto"/>
              <w:right w:val="single" w:sz="4" w:space="0" w:color="auto"/>
            </w:tcBorders>
            <w:shd w:val="clear" w:color="auto" w:fill="auto"/>
            <w:vAlign w:val="center"/>
            <w:hideMark/>
          </w:tcPr>
          <w:p w14:paraId="6EFDA325"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16%</w:t>
            </w:r>
          </w:p>
        </w:tc>
      </w:tr>
      <w:tr w:rsidR="009210B8" w:rsidRPr="0055027D" w14:paraId="2085F704"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000000" w:fill="E7E6E6"/>
            <w:vAlign w:val="center"/>
            <w:hideMark/>
          </w:tcPr>
          <w:p w14:paraId="321D4700"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Total</w:t>
            </w:r>
          </w:p>
        </w:tc>
        <w:tc>
          <w:tcPr>
            <w:tcW w:w="1073" w:type="dxa"/>
            <w:tcBorders>
              <w:top w:val="nil"/>
              <w:left w:val="nil"/>
              <w:bottom w:val="single" w:sz="4" w:space="0" w:color="auto"/>
              <w:right w:val="single" w:sz="4" w:space="0" w:color="auto"/>
            </w:tcBorders>
            <w:shd w:val="clear" w:color="000000" w:fill="E7E6E6"/>
            <w:vAlign w:val="center"/>
            <w:hideMark/>
          </w:tcPr>
          <w:p w14:paraId="2839A344"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68,131</w:t>
            </w:r>
          </w:p>
        </w:tc>
        <w:tc>
          <w:tcPr>
            <w:tcW w:w="1350" w:type="dxa"/>
            <w:tcBorders>
              <w:top w:val="nil"/>
              <w:left w:val="nil"/>
              <w:bottom w:val="single" w:sz="4" w:space="0" w:color="auto"/>
              <w:right w:val="single" w:sz="4" w:space="0" w:color="auto"/>
            </w:tcBorders>
            <w:shd w:val="clear" w:color="000000" w:fill="E7E6E6"/>
            <w:vAlign w:val="center"/>
            <w:hideMark/>
          </w:tcPr>
          <w:p w14:paraId="4639407E"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79,376</w:t>
            </w:r>
          </w:p>
        </w:tc>
        <w:tc>
          <w:tcPr>
            <w:tcW w:w="953" w:type="dxa"/>
            <w:tcBorders>
              <w:top w:val="nil"/>
              <w:left w:val="nil"/>
              <w:bottom w:val="single" w:sz="4" w:space="0" w:color="auto"/>
              <w:right w:val="single" w:sz="4" w:space="0" w:color="auto"/>
            </w:tcBorders>
            <w:shd w:val="clear" w:color="000000" w:fill="E7E6E6"/>
            <w:vAlign w:val="center"/>
            <w:hideMark/>
          </w:tcPr>
          <w:p w14:paraId="1D6C04FB"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0.8</w:t>
            </w:r>
            <w:r>
              <w:rPr>
                <w:rFonts w:cs="Calibri"/>
                <w:b/>
                <w:sz w:val="18"/>
                <w:szCs w:val="18"/>
                <w:lang w:eastAsia="en-AU"/>
              </w:rPr>
              <w:t>6</w:t>
            </w:r>
          </w:p>
        </w:tc>
        <w:tc>
          <w:tcPr>
            <w:tcW w:w="1109" w:type="dxa"/>
            <w:tcBorders>
              <w:top w:val="nil"/>
              <w:left w:val="nil"/>
              <w:bottom w:val="single" w:sz="4" w:space="0" w:color="auto"/>
              <w:right w:val="single" w:sz="4" w:space="0" w:color="auto"/>
            </w:tcBorders>
            <w:shd w:val="clear" w:color="000000" w:fill="E7E6E6"/>
            <w:vAlign w:val="center"/>
            <w:hideMark/>
          </w:tcPr>
          <w:p w14:paraId="5407D78A"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-11,245</w:t>
            </w:r>
          </w:p>
        </w:tc>
        <w:tc>
          <w:tcPr>
            <w:tcW w:w="1223" w:type="dxa"/>
            <w:tcBorders>
              <w:top w:val="nil"/>
              <w:left w:val="nil"/>
              <w:bottom w:val="single" w:sz="4" w:space="0" w:color="auto"/>
              <w:right w:val="single" w:sz="4" w:space="0" w:color="auto"/>
            </w:tcBorders>
            <w:shd w:val="clear" w:color="000000" w:fill="E7E6E6"/>
            <w:vAlign w:val="center"/>
            <w:hideMark/>
          </w:tcPr>
          <w:p w14:paraId="4BE4B87A" w14:textId="77777777" w:rsidR="009210B8" w:rsidRPr="007E01FD" w:rsidRDefault="009210B8" w:rsidP="009210B8">
            <w:pPr>
              <w:spacing w:after="0" w:line="240" w:lineRule="auto"/>
              <w:jc w:val="right"/>
              <w:rPr>
                <w:rFonts w:cs="Calibri"/>
                <w:b/>
                <w:sz w:val="18"/>
                <w:szCs w:val="18"/>
                <w:lang w:eastAsia="en-AU"/>
              </w:rPr>
            </w:pPr>
            <w:r>
              <w:rPr>
                <w:rFonts w:cs="Calibri"/>
                <w:b/>
                <w:sz w:val="18"/>
                <w:szCs w:val="18"/>
                <w:lang w:eastAsia="en-AU"/>
              </w:rPr>
              <w:t>-</w:t>
            </w:r>
            <w:r w:rsidRPr="007E01FD">
              <w:rPr>
                <w:rFonts w:cs="Calibri"/>
                <w:b/>
                <w:sz w:val="18"/>
                <w:szCs w:val="18"/>
                <w:lang w:eastAsia="en-AU"/>
              </w:rPr>
              <w:t>14%</w:t>
            </w:r>
          </w:p>
        </w:tc>
      </w:tr>
      <w:tr w:rsidR="009210B8" w:rsidRPr="007E01FD" w14:paraId="22BFDCA9" w14:textId="77777777" w:rsidTr="009210B8">
        <w:trPr>
          <w:trHeight w:val="290"/>
        </w:trPr>
        <w:tc>
          <w:tcPr>
            <w:tcW w:w="7356" w:type="dxa"/>
            <w:gridSpan w:val="7"/>
            <w:tcBorders>
              <w:top w:val="single" w:sz="4" w:space="0" w:color="auto"/>
              <w:left w:val="single" w:sz="4" w:space="0" w:color="auto"/>
              <w:bottom w:val="single" w:sz="4" w:space="0" w:color="auto"/>
              <w:right w:val="single" w:sz="4" w:space="0" w:color="auto"/>
            </w:tcBorders>
            <w:shd w:val="clear" w:color="000000" w:fill="A6A6A6"/>
            <w:vAlign w:val="center"/>
            <w:hideMark/>
          </w:tcPr>
          <w:p w14:paraId="4E620DFF"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Prostate cancer</w:t>
            </w:r>
          </w:p>
        </w:tc>
      </w:tr>
      <w:tr w:rsidR="009210B8" w:rsidRPr="007E01FD" w14:paraId="27CBB09F"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3580FDE3"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NSW/ACT</w:t>
            </w:r>
          </w:p>
        </w:tc>
        <w:tc>
          <w:tcPr>
            <w:tcW w:w="1073" w:type="dxa"/>
            <w:tcBorders>
              <w:top w:val="nil"/>
              <w:left w:val="nil"/>
              <w:bottom w:val="single" w:sz="4" w:space="0" w:color="auto"/>
              <w:right w:val="single" w:sz="4" w:space="0" w:color="auto"/>
            </w:tcBorders>
            <w:shd w:val="clear" w:color="auto" w:fill="auto"/>
            <w:vAlign w:val="center"/>
            <w:hideMark/>
          </w:tcPr>
          <w:p w14:paraId="3098B3AD"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7,078</w:t>
            </w:r>
          </w:p>
        </w:tc>
        <w:tc>
          <w:tcPr>
            <w:tcW w:w="1350" w:type="dxa"/>
            <w:tcBorders>
              <w:top w:val="nil"/>
              <w:left w:val="nil"/>
              <w:bottom w:val="single" w:sz="4" w:space="0" w:color="auto"/>
              <w:right w:val="single" w:sz="4" w:space="0" w:color="auto"/>
            </w:tcBorders>
            <w:shd w:val="clear" w:color="auto" w:fill="auto"/>
            <w:vAlign w:val="center"/>
            <w:hideMark/>
          </w:tcPr>
          <w:p w14:paraId="6D31AEE4"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7,133</w:t>
            </w:r>
          </w:p>
        </w:tc>
        <w:tc>
          <w:tcPr>
            <w:tcW w:w="953" w:type="dxa"/>
            <w:tcBorders>
              <w:top w:val="nil"/>
              <w:left w:val="nil"/>
              <w:bottom w:val="single" w:sz="4" w:space="0" w:color="auto"/>
              <w:right w:val="single" w:sz="4" w:space="0" w:color="auto"/>
            </w:tcBorders>
            <w:shd w:val="clear" w:color="auto" w:fill="auto"/>
            <w:vAlign w:val="center"/>
            <w:hideMark/>
          </w:tcPr>
          <w:p w14:paraId="260F3FC4"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0.99</w:t>
            </w:r>
          </w:p>
        </w:tc>
        <w:tc>
          <w:tcPr>
            <w:tcW w:w="1109" w:type="dxa"/>
            <w:tcBorders>
              <w:top w:val="nil"/>
              <w:left w:val="nil"/>
              <w:bottom w:val="single" w:sz="4" w:space="0" w:color="auto"/>
              <w:right w:val="single" w:sz="4" w:space="0" w:color="auto"/>
            </w:tcBorders>
            <w:shd w:val="clear" w:color="auto" w:fill="auto"/>
            <w:vAlign w:val="center"/>
            <w:hideMark/>
          </w:tcPr>
          <w:p w14:paraId="320DFB13"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-55</w:t>
            </w:r>
          </w:p>
        </w:tc>
        <w:tc>
          <w:tcPr>
            <w:tcW w:w="1223" w:type="dxa"/>
            <w:tcBorders>
              <w:top w:val="nil"/>
              <w:left w:val="nil"/>
              <w:bottom w:val="single" w:sz="4" w:space="0" w:color="auto"/>
              <w:right w:val="single" w:sz="4" w:space="0" w:color="auto"/>
            </w:tcBorders>
            <w:shd w:val="clear" w:color="auto" w:fill="auto"/>
            <w:vAlign w:val="center"/>
            <w:hideMark/>
          </w:tcPr>
          <w:p w14:paraId="5D65DC92"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1%</w:t>
            </w:r>
          </w:p>
        </w:tc>
      </w:tr>
      <w:tr w:rsidR="009210B8" w:rsidRPr="007E01FD" w14:paraId="7BE086C1"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4C438699"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VIC/TAS</w:t>
            </w:r>
          </w:p>
        </w:tc>
        <w:tc>
          <w:tcPr>
            <w:tcW w:w="1073" w:type="dxa"/>
            <w:tcBorders>
              <w:top w:val="nil"/>
              <w:left w:val="nil"/>
              <w:bottom w:val="single" w:sz="4" w:space="0" w:color="auto"/>
              <w:right w:val="single" w:sz="4" w:space="0" w:color="auto"/>
            </w:tcBorders>
            <w:shd w:val="clear" w:color="auto" w:fill="auto"/>
            <w:vAlign w:val="center"/>
            <w:hideMark/>
          </w:tcPr>
          <w:p w14:paraId="558F7652"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6,749</w:t>
            </w:r>
          </w:p>
        </w:tc>
        <w:tc>
          <w:tcPr>
            <w:tcW w:w="1350" w:type="dxa"/>
            <w:tcBorders>
              <w:top w:val="nil"/>
              <w:left w:val="nil"/>
              <w:bottom w:val="single" w:sz="4" w:space="0" w:color="auto"/>
              <w:right w:val="single" w:sz="4" w:space="0" w:color="auto"/>
            </w:tcBorders>
            <w:shd w:val="clear" w:color="auto" w:fill="auto"/>
            <w:vAlign w:val="center"/>
            <w:hideMark/>
          </w:tcPr>
          <w:p w14:paraId="7BBB005A"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7,202</w:t>
            </w:r>
          </w:p>
        </w:tc>
        <w:tc>
          <w:tcPr>
            <w:tcW w:w="953" w:type="dxa"/>
            <w:tcBorders>
              <w:top w:val="nil"/>
              <w:left w:val="nil"/>
              <w:bottom w:val="single" w:sz="4" w:space="0" w:color="auto"/>
              <w:right w:val="single" w:sz="4" w:space="0" w:color="auto"/>
            </w:tcBorders>
            <w:shd w:val="clear" w:color="auto" w:fill="auto"/>
            <w:vAlign w:val="center"/>
            <w:hideMark/>
          </w:tcPr>
          <w:p w14:paraId="5009715C"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0.9</w:t>
            </w:r>
            <w:r>
              <w:rPr>
                <w:rFonts w:cs="Calibri"/>
                <w:sz w:val="18"/>
                <w:szCs w:val="18"/>
                <w:lang w:eastAsia="en-AU"/>
              </w:rPr>
              <w:t>4</w:t>
            </w:r>
          </w:p>
        </w:tc>
        <w:tc>
          <w:tcPr>
            <w:tcW w:w="1109" w:type="dxa"/>
            <w:tcBorders>
              <w:top w:val="nil"/>
              <w:left w:val="nil"/>
              <w:bottom w:val="single" w:sz="4" w:space="0" w:color="auto"/>
              <w:right w:val="single" w:sz="4" w:space="0" w:color="auto"/>
            </w:tcBorders>
            <w:shd w:val="clear" w:color="auto" w:fill="auto"/>
            <w:vAlign w:val="center"/>
            <w:hideMark/>
          </w:tcPr>
          <w:p w14:paraId="154EA938"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-453</w:t>
            </w:r>
          </w:p>
        </w:tc>
        <w:tc>
          <w:tcPr>
            <w:tcW w:w="1223" w:type="dxa"/>
            <w:tcBorders>
              <w:top w:val="nil"/>
              <w:left w:val="nil"/>
              <w:bottom w:val="single" w:sz="4" w:space="0" w:color="auto"/>
              <w:right w:val="single" w:sz="4" w:space="0" w:color="auto"/>
            </w:tcBorders>
            <w:shd w:val="clear" w:color="auto" w:fill="auto"/>
            <w:vAlign w:val="center"/>
            <w:hideMark/>
          </w:tcPr>
          <w:p w14:paraId="05BE982C"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6%</w:t>
            </w:r>
          </w:p>
        </w:tc>
      </w:tr>
      <w:tr w:rsidR="009210B8" w:rsidRPr="007E01FD" w14:paraId="6B0B75E2"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6F9E91D9"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QLD</w:t>
            </w:r>
          </w:p>
        </w:tc>
        <w:tc>
          <w:tcPr>
            <w:tcW w:w="1073" w:type="dxa"/>
            <w:tcBorders>
              <w:top w:val="nil"/>
              <w:left w:val="nil"/>
              <w:bottom w:val="single" w:sz="4" w:space="0" w:color="auto"/>
              <w:right w:val="single" w:sz="4" w:space="0" w:color="auto"/>
            </w:tcBorders>
            <w:shd w:val="clear" w:color="auto" w:fill="auto"/>
            <w:vAlign w:val="center"/>
            <w:hideMark/>
          </w:tcPr>
          <w:p w14:paraId="314E15DD"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3,886</w:t>
            </w:r>
          </w:p>
        </w:tc>
        <w:tc>
          <w:tcPr>
            <w:tcW w:w="1350" w:type="dxa"/>
            <w:tcBorders>
              <w:top w:val="nil"/>
              <w:left w:val="nil"/>
              <w:bottom w:val="single" w:sz="4" w:space="0" w:color="auto"/>
              <w:right w:val="single" w:sz="4" w:space="0" w:color="auto"/>
            </w:tcBorders>
            <w:shd w:val="clear" w:color="auto" w:fill="auto"/>
            <w:vAlign w:val="center"/>
            <w:hideMark/>
          </w:tcPr>
          <w:p w14:paraId="1BA985A5"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3,841</w:t>
            </w:r>
          </w:p>
        </w:tc>
        <w:tc>
          <w:tcPr>
            <w:tcW w:w="953" w:type="dxa"/>
            <w:tcBorders>
              <w:top w:val="nil"/>
              <w:left w:val="nil"/>
              <w:bottom w:val="single" w:sz="4" w:space="0" w:color="auto"/>
              <w:right w:val="single" w:sz="4" w:space="0" w:color="auto"/>
            </w:tcBorders>
            <w:shd w:val="clear" w:color="auto" w:fill="auto"/>
            <w:vAlign w:val="center"/>
            <w:hideMark/>
          </w:tcPr>
          <w:p w14:paraId="5178D3EC"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1.01</w:t>
            </w:r>
          </w:p>
        </w:tc>
        <w:tc>
          <w:tcPr>
            <w:tcW w:w="1109" w:type="dxa"/>
            <w:tcBorders>
              <w:top w:val="nil"/>
              <w:left w:val="nil"/>
              <w:bottom w:val="single" w:sz="4" w:space="0" w:color="auto"/>
              <w:right w:val="single" w:sz="4" w:space="0" w:color="auto"/>
            </w:tcBorders>
            <w:shd w:val="clear" w:color="auto" w:fill="auto"/>
            <w:vAlign w:val="center"/>
            <w:hideMark/>
          </w:tcPr>
          <w:p w14:paraId="2366DB6E"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45</w:t>
            </w:r>
          </w:p>
        </w:tc>
        <w:tc>
          <w:tcPr>
            <w:tcW w:w="1223" w:type="dxa"/>
            <w:tcBorders>
              <w:top w:val="nil"/>
              <w:left w:val="nil"/>
              <w:bottom w:val="single" w:sz="4" w:space="0" w:color="auto"/>
              <w:right w:val="single" w:sz="4" w:space="0" w:color="auto"/>
            </w:tcBorders>
            <w:shd w:val="clear" w:color="auto" w:fill="auto"/>
            <w:vAlign w:val="center"/>
            <w:hideMark/>
          </w:tcPr>
          <w:p w14:paraId="3BFCC482"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w:t>
            </w:r>
          </w:p>
        </w:tc>
      </w:tr>
      <w:tr w:rsidR="009210B8" w:rsidRPr="007E01FD" w14:paraId="73CE444C"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31B643F5"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SA/NT</w:t>
            </w:r>
          </w:p>
        </w:tc>
        <w:tc>
          <w:tcPr>
            <w:tcW w:w="1073" w:type="dxa"/>
            <w:tcBorders>
              <w:top w:val="nil"/>
              <w:left w:val="nil"/>
              <w:bottom w:val="single" w:sz="4" w:space="0" w:color="auto"/>
              <w:right w:val="single" w:sz="4" w:space="0" w:color="auto"/>
            </w:tcBorders>
            <w:shd w:val="clear" w:color="auto" w:fill="auto"/>
            <w:vAlign w:val="center"/>
            <w:hideMark/>
          </w:tcPr>
          <w:p w14:paraId="3859D45D"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1,746</w:t>
            </w:r>
          </w:p>
        </w:tc>
        <w:tc>
          <w:tcPr>
            <w:tcW w:w="1350" w:type="dxa"/>
            <w:tcBorders>
              <w:top w:val="nil"/>
              <w:left w:val="nil"/>
              <w:bottom w:val="single" w:sz="4" w:space="0" w:color="auto"/>
              <w:right w:val="single" w:sz="4" w:space="0" w:color="auto"/>
            </w:tcBorders>
            <w:shd w:val="clear" w:color="auto" w:fill="auto"/>
            <w:vAlign w:val="center"/>
            <w:hideMark/>
          </w:tcPr>
          <w:p w14:paraId="6934BCC3"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1,745</w:t>
            </w:r>
          </w:p>
        </w:tc>
        <w:tc>
          <w:tcPr>
            <w:tcW w:w="953" w:type="dxa"/>
            <w:tcBorders>
              <w:top w:val="nil"/>
              <w:left w:val="nil"/>
              <w:bottom w:val="single" w:sz="4" w:space="0" w:color="auto"/>
              <w:right w:val="single" w:sz="4" w:space="0" w:color="auto"/>
            </w:tcBorders>
            <w:shd w:val="clear" w:color="auto" w:fill="auto"/>
            <w:vAlign w:val="center"/>
            <w:hideMark/>
          </w:tcPr>
          <w:p w14:paraId="273A81E6"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1.00</w:t>
            </w:r>
          </w:p>
        </w:tc>
        <w:tc>
          <w:tcPr>
            <w:tcW w:w="1109" w:type="dxa"/>
            <w:tcBorders>
              <w:top w:val="nil"/>
              <w:left w:val="nil"/>
              <w:bottom w:val="single" w:sz="4" w:space="0" w:color="auto"/>
              <w:right w:val="single" w:sz="4" w:space="0" w:color="auto"/>
            </w:tcBorders>
            <w:shd w:val="clear" w:color="auto" w:fill="auto"/>
            <w:vAlign w:val="center"/>
            <w:hideMark/>
          </w:tcPr>
          <w:p w14:paraId="0A960E1A"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w:t>
            </w:r>
          </w:p>
        </w:tc>
        <w:tc>
          <w:tcPr>
            <w:tcW w:w="1223" w:type="dxa"/>
            <w:tcBorders>
              <w:top w:val="nil"/>
              <w:left w:val="nil"/>
              <w:bottom w:val="single" w:sz="4" w:space="0" w:color="auto"/>
              <w:right w:val="single" w:sz="4" w:space="0" w:color="auto"/>
            </w:tcBorders>
            <w:shd w:val="clear" w:color="auto" w:fill="auto"/>
            <w:vAlign w:val="center"/>
            <w:hideMark/>
          </w:tcPr>
          <w:p w14:paraId="39A7C21A"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w:t>
            </w:r>
          </w:p>
        </w:tc>
      </w:tr>
      <w:tr w:rsidR="009210B8" w:rsidRPr="007E01FD" w14:paraId="356EF5FF"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4B1F042E"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WA</w:t>
            </w:r>
          </w:p>
        </w:tc>
        <w:tc>
          <w:tcPr>
            <w:tcW w:w="1073" w:type="dxa"/>
            <w:tcBorders>
              <w:top w:val="nil"/>
              <w:left w:val="nil"/>
              <w:bottom w:val="single" w:sz="4" w:space="0" w:color="auto"/>
              <w:right w:val="single" w:sz="4" w:space="0" w:color="auto"/>
            </w:tcBorders>
            <w:shd w:val="clear" w:color="auto" w:fill="auto"/>
            <w:vAlign w:val="center"/>
            <w:hideMark/>
          </w:tcPr>
          <w:p w14:paraId="7FF03A30"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2,203</w:t>
            </w:r>
          </w:p>
        </w:tc>
        <w:tc>
          <w:tcPr>
            <w:tcW w:w="1350" w:type="dxa"/>
            <w:tcBorders>
              <w:top w:val="nil"/>
              <w:left w:val="nil"/>
              <w:bottom w:val="single" w:sz="4" w:space="0" w:color="auto"/>
              <w:right w:val="single" w:sz="4" w:space="0" w:color="auto"/>
            </w:tcBorders>
            <w:shd w:val="clear" w:color="auto" w:fill="auto"/>
            <w:vAlign w:val="center"/>
            <w:hideMark/>
          </w:tcPr>
          <w:p w14:paraId="3DF54FB4"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2,276</w:t>
            </w:r>
          </w:p>
        </w:tc>
        <w:tc>
          <w:tcPr>
            <w:tcW w:w="953" w:type="dxa"/>
            <w:tcBorders>
              <w:top w:val="nil"/>
              <w:left w:val="nil"/>
              <w:bottom w:val="single" w:sz="4" w:space="0" w:color="auto"/>
              <w:right w:val="single" w:sz="4" w:space="0" w:color="auto"/>
            </w:tcBorders>
            <w:shd w:val="clear" w:color="auto" w:fill="auto"/>
            <w:vAlign w:val="center"/>
            <w:hideMark/>
          </w:tcPr>
          <w:p w14:paraId="06FF876F"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0.9</w:t>
            </w:r>
            <w:r>
              <w:rPr>
                <w:rFonts w:cs="Calibri"/>
                <w:sz w:val="18"/>
                <w:szCs w:val="18"/>
                <w:lang w:eastAsia="en-AU"/>
              </w:rPr>
              <w:t>7</w:t>
            </w:r>
          </w:p>
        </w:tc>
        <w:tc>
          <w:tcPr>
            <w:tcW w:w="1109" w:type="dxa"/>
            <w:tcBorders>
              <w:top w:val="nil"/>
              <w:left w:val="nil"/>
              <w:bottom w:val="single" w:sz="4" w:space="0" w:color="auto"/>
              <w:right w:val="single" w:sz="4" w:space="0" w:color="auto"/>
            </w:tcBorders>
            <w:shd w:val="clear" w:color="auto" w:fill="auto"/>
            <w:vAlign w:val="center"/>
            <w:hideMark/>
          </w:tcPr>
          <w:p w14:paraId="13FB550A"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-73</w:t>
            </w:r>
          </w:p>
        </w:tc>
        <w:tc>
          <w:tcPr>
            <w:tcW w:w="1223" w:type="dxa"/>
            <w:tcBorders>
              <w:top w:val="nil"/>
              <w:left w:val="nil"/>
              <w:bottom w:val="single" w:sz="4" w:space="0" w:color="auto"/>
              <w:right w:val="single" w:sz="4" w:space="0" w:color="auto"/>
            </w:tcBorders>
            <w:shd w:val="clear" w:color="auto" w:fill="auto"/>
            <w:vAlign w:val="center"/>
            <w:hideMark/>
          </w:tcPr>
          <w:p w14:paraId="2BFA1E73"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3%</w:t>
            </w:r>
          </w:p>
        </w:tc>
      </w:tr>
      <w:tr w:rsidR="009210B8" w:rsidRPr="007E01FD" w14:paraId="285A98E0"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000000" w:fill="E7E6E6"/>
            <w:vAlign w:val="center"/>
            <w:hideMark/>
          </w:tcPr>
          <w:p w14:paraId="7CE017C4"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Total</w:t>
            </w:r>
          </w:p>
        </w:tc>
        <w:tc>
          <w:tcPr>
            <w:tcW w:w="1073" w:type="dxa"/>
            <w:tcBorders>
              <w:top w:val="nil"/>
              <w:left w:val="nil"/>
              <w:bottom w:val="single" w:sz="4" w:space="0" w:color="auto"/>
              <w:right w:val="single" w:sz="4" w:space="0" w:color="auto"/>
            </w:tcBorders>
            <w:shd w:val="clear" w:color="000000" w:fill="E7E6E6"/>
            <w:vAlign w:val="center"/>
            <w:hideMark/>
          </w:tcPr>
          <w:p w14:paraId="3BFCBC21"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21,662</w:t>
            </w:r>
          </w:p>
        </w:tc>
        <w:tc>
          <w:tcPr>
            <w:tcW w:w="1350" w:type="dxa"/>
            <w:tcBorders>
              <w:top w:val="nil"/>
              <w:left w:val="nil"/>
              <w:bottom w:val="single" w:sz="4" w:space="0" w:color="auto"/>
              <w:right w:val="single" w:sz="4" w:space="0" w:color="auto"/>
            </w:tcBorders>
            <w:shd w:val="clear" w:color="000000" w:fill="E7E6E6"/>
            <w:vAlign w:val="center"/>
            <w:hideMark/>
          </w:tcPr>
          <w:p w14:paraId="69CA16A0"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22,19</w:t>
            </w:r>
            <w:r>
              <w:rPr>
                <w:rFonts w:cs="Calibri"/>
                <w:b/>
                <w:sz w:val="18"/>
                <w:szCs w:val="18"/>
                <w:lang w:eastAsia="en-AU"/>
              </w:rPr>
              <w:t>7</w:t>
            </w:r>
          </w:p>
        </w:tc>
        <w:tc>
          <w:tcPr>
            <w:tcW w:w="953" w:type="dxa"/>
            <w:tcBorders>
              <w:top w:val="nil"/>
              <w:left w:val="nil"/>
              <w:bottom w:val="single" w:sz="4" w:space="0" w:color="auto"/>
              <w:right w:val="single" w:sz="4" w:space="0" w:color="auto"/>
            </w:tcBorders>
            <w:shd w:val="clear" w:color="000000" w:fill="E7E6E6"/>
            <w:vAlign w:val="center"/>
            <w:hideMark/>
          </w:tcPr>
          <w:p w14:paraId="08D2F3C3"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0.9</w:t>
            </w:r>
            <w:r>
              <w:rPr>
                <w:rFonts w:cs="Calibri"/>
                <w:b/>
                <w:sz w:val="18"/>
                <w:szCs w:val="18"/>
                <w:lang w:eastAsia="en-AU"/>
              </w:rPr>
              <w:t>8</w:t>
            </w:r>
          </w:p>
        </w:tc>
        <w:tc>
          <w:tcPr>
            <w:tcW w:w="1109" w:type="dxa"/>
            <w:tcBorders>
              <w:top w:val="nil"/>
              <w:left w:val="nil"/>
              <w:bottom w:val="single" w:sz="4" w:space="0" w:color="auto"/>
              <w:right w:val="single" w:sz="4" w:space="0" w:color="auto"/>
            </w:tcBorders>
            <w:shd w:val="clear" w:color="000000" w:fill="E7E6E6"/>
            <w:vAlign w:val="center"/>
            <w:hideMark/>
          </w:tcPr>
          <w:p w14:paraId="1FDE2814"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-53</w:t>
            </w:r>
            <w:r>
              <w:rPr>
                <w:rFonts w:cs="Calibri"/>
                <w:b/>
                <w:sz w:val="18"/>
                <w:szCs w:val="18"/>
                <w:lang w:eastAsia="en-AU"/>
              </w:rPr>
              <w:t>5</w:t>
            </w:r>
          </w:p>
        </w:tc>
        <w:tc>
          <w:tcPr>
            <w:tcW w:w="1223" w:type="dxa"/>
            <w:tcBorders>
              <w:top w:val="nil"/>
              <w:left w:val="nil"/>
              <w:bottom w:val="single" w:sz="4" w:space="0" w:color="auto"/>
              <w:right w:val="single" w:sz="4" w:space="0" w:color="auto"/>
            </w:tcBorders>
            <w:shd w:val="clear" w:color="000000" w:fill="E7E6E6"/>
            <w:vAlign w:val="center"/>
            <w:hideMark/>
          </w:tcPr>
          <w:p w14:paraId="28B44F80" w14:textId="77777777" w:rsidR="009210B8" w:rsidRPr="007E01FD" w:rsidRDefault="009210B8" w:rsidP="009210B8">
            <w:pPr>
              <w:spacing w:after="0" w:line="240" w:lineRule="auto"/>
              <w:jc w:val="right"/>
              <w:rPr>
                <w:rFonts w:cs="Calibri"/>
                <w:b/>
                <w:sz w:val="18"/>
                <w:szCs w:val="18"/>
                <w:lang w:eastAsia="en-AU"/>
              </w:rPr>
            </w:pPr>
            <w:r>
              <w:rPr>
                <w:rFonts w:cs="Calibri"/>
                <w:b/>
                <w:sz w:val="18"/>
                <w:szCs w:val="18"/>
                <w:lang w:eastAsia="en-AU"/>
              </w:rPr>
              <w:t>-</w:t>
            </w:r>
            <w:r w:rsidRPr="007E01FD">
              <w:rPr>
                <w:rFonts w:cs="Calibri"/>
                <w:b/>
                <w:sz w:val="18"/>
                <w:szCs w:val="18"/>
                <w:lang w:eastAsia="en-AU"/>
              </w:rPr>
              <w:t>2%</w:t>
            </w:r>
          </w:p>
        </w:tc>
      </w:tr>
      <w:tr w:rsidR="009210B8" w:rsidRPr="007E01FD" w14:paraId="53C3997A" w14:textId="77777777" w:rsidTr="009210B8">
        <w:trPr>
          <w:trHeight w:val="290"/>
        </w:trPr>
        <w:tc>
          <w:tcPr>
            <w:tcW w:w="7356" w:type="dxa"/>
            <w:gridSpan w:val="7"/>
            <w:tcBorders>
              <w:top w:val="single" w:sz="4" w:space="0" w:color="auto"/>
              <w:left w:val="single" w:sz="4" w:space="0" w:color="auto"/>
              <w:bottom w:val="single" w:sz="4" w:space="0" w:color="auto"/>
              <w:right w:val="single" w:sz="4" w:space="0" w:color="auto"/>
            </w:tcBorders>
            <w:shd w:val="clear" w:color="000000" w:fill="A6A6A6"/>
            <w:vAlign w:val="center"/>
            <w:hideMark/>
          </w:tcPr>
          <w:p w14:paraId="36A785C5"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 xml:space="preserve">Prostate </w:t>
            </w:r>
            <w:r>
              <w:rPr>
                <w:rFonts w:cs="Calibri"/>
                <w:b/>
                <w:sz w:val="18"/>
                <w:szCs w:val="18"/>
                <w:lang w:eastAsia="en-AU"/>
              </w:rPr>
              <w:t xml:space="preserve">cancer </w:t>
            </w:r>
            <w:r w:rsidRPr="00DC7FDE">
              <w:rPr>
                <w:rFonts w:cs="Calibri"/>
                <w:b/>
                <w:sz w:val="18"/>
                <w:szCs w:val="18"/>
                <w:lang w:eastAsia="en-AU"/>
              </w:rPr>
              <w:t>(monitoring of previously diagnosed disease)</w:t>
            </w:r>
            <w:r>
              <w:rPr>
                <w:rStyle w:val="FootnoteReference"/>
                <w:rFonts w:cs="Calibri"/>
                <w:b/>
                <w:sz w:val="18"/>
                <w:szCs w:val="18"/>
                <w:lang w:eastAsia="en-AU"/>
              </w:rPr>
              <w:footnoteReference w:id="43"/>
            </w:r>
          </w:p>
        </w:tc>
      </w:tr>
      <w:tr w:rsidR="009210B8" w:rsidRPr="007E01FD" w14:paraId="3FB10B78"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11E3BF08" w14:textId="77777777" w:rsidR="009210B8" w:rsidRPr="007E01FD" w:rsidRDefault="009210B8" w:rsidP="009210B8">
            <w:pPr>
              <w:spacing w:after="0" w:line="240" w:lineRule="auto"/>
              <w:rPr>
                <w:rFonts w:cs="Calibri"/>
                <w:b/>
                <w:sz w:val="18"/>
                <w:szCs w:val="18"/>
                <w:lang w:eastAsia="en-AU"/>
              </w:rPr>
            </w:pPr>
            <w:r>
              <w:rPr>
                <w:rFonts w:cs="Calibri"/>
                <w:b/>
                <w:sz w:val="18"/>
                <w:szCs w:val="18"/>
                <w:lang w:eastAsia="en-AU"/>
              </w:rPr>
              <w:t>NSW/ACT</w:t>
            </w:r>
          </w:p>
        </w:tc>
        <w:tc>
          <w:tcPr>
            <w:tcW w:w="1073" w:type="dxa"/>
            <w:tcBorders>
              <w:top w:val="nil"/>
              <w:left w:val="nil"/>
              <w:bottom w:val="single" w:sz="4" w:space="0" w:color="auto"/>
              <w:right w:val="single" w:sz="4" w:space="0" w:color="auto"/>
            </w:tcBorders>
            <w:shd w:val="clear" w:color="auto" w:fill="auto"/>
            <w:vAlign w:val="center"/>
            <w:hideMark/>
          </w:tcPr>
          <w:p w14:paraId="692443FC"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370,754</w:t>
            </w:r>
          </w:p>
        </w:tc>
        <w:tc>
          <w:tcPr>
            <w:tcW w:w="1350" w:type="dxa"/>
            <w:tcBorders>
              <w:top w:val="nil"/>
              <w:left w:val="nil"/>
              <w:bottom w:val="single" w:sz="4" w:space="0" w:color="auto"/>
              <w:right w:val="single" w:sz="4" w:space="0" w:color="auto"/>
            </w:tcBorders>
            <w:shd w:val="clear" w:color="auto" w:fill="auto"/>
            <w:vAlign w:val="center"/>
            <w:hideMark/>
          </w:tcPr>
          <w:p w14:paraId="2F510F96"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356,443</w:t>
            </w:r>
          </w:p>
        </w:tc>
        <w:tc>
          <w:tcPr>
            <w:tcW w:w="953" w:type="dxa"/>
            <w:tcBorders>
              <w:top w:val="nil"/>
              <w:left w:val="nil"/>
              <w:bottom w:val="single" w:sz="4" w:space="0" w:color="auto"/>
              <w:right w:val="single" w:sz="4" w:space="0" w:color="auto"/>
            </w:tcBorders>
            <w:shd w:val="clear" w:color="auto" w:fill="auto"/>
            <w:vAlign w:val="center"/>
            <w:hideMark/>
          </w:tcPr>
          <w:p w14:paraId="53CFBCB1"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1.04</w:t>
            </w:r>
          </w:p>
        </w:tc>
        <w:tc>
          <w:tcPr>
            <w:tcW w:w="1109" w:type="dxa"/>
            <w:tcBorders>
              <w:top w:val="nil"/>
              <w:left w:val="nil"/>
              <w:bottom w:val="single" w:sz="4" w:space="0" w:color="auto"/>
              <w:right w:val="single" w:sz="4" w:space="0" w:color="auto"/>
            </w:tcBorders>
            <w:shd w:val="clear" w:color="auto" w:fill="auto"/>
            <w:vAlign w:val="center"/>
            <w:hideMark/>
          </w:tcPr>
          <w:p w14:paraId="6386ABEA"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14,311</w:t>
            </w:r>
          </w:p>
        </w:tc>
        <w:tc>
          <w:tcPr>
            <w:tcW w:w="1223" w:type="dxa"/>
            <w:tcBorders>
              <w:top w:val="nil"/>
              <w:left w:val="nil"/>
              <w:bottom w:val="single" w:sz="4" w:space="0" w:color="auto"/>
              <w:right w:val="single" w:sz="4" w:space="0" w:color="auto"/>
            </w:tcBorders>
            <w:shd w:val="clear" w:color="auto" w:fill="auto"/>
            <w:vAlign w:val="center"/>
            <w:hideMark/>
          </w:tcPr>
          <w:p w14:paraId="407E1323"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4%</w:t>
            </w:r>
          </w:p>
        </w:tc>
      </w:tr>
      <w:tr w:rsidR="009210B8" w:rsidRPr="007E01FD" w14:paraId="59606CC5"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0611C7B3" w14:textId="77777777" w:rsidR="009210B8" w:rsidRPr="007E01FD" w:rsidRDefault="009210B8" w:rsidP="009210B8">
            <w:pPr>
              <w:spacing w:after="0" w:line="240" w:lineRule="auto"/>
              <w:rPr>
                <w:rFonts w:cs="Calibri"/>
                <w:b/>
                <w:sz w:val="18"/>
                <w:szCs w:val="18"/>
                <w:lang w:eastAsia="en-AU"/>
              </w:rPr>
            </w:pPr>
            <w:r>
              <w:rPr>
                <w:rFonts w:cs="Calibri"/>
                <w:b/>
                <w:sz w:val="18"/>
                <w:szCs w:val="18"/>
                <w:lang w:eastAsia="en-AU"/>
              </w:rPr>
              <w:t>VIC/TAS</w:t>
            </w:r>
          </w:p>
        </w:tc>
        <w:tc>
          <w:tcPr>
            <w:tcW w:w="1073" w:type="dxa"/>
            <w:tcBorders>
              <w:top w:val="nil"/>
              <w:left w:val="nil"/>
              <w:bottom w:val="single" w:sz="4" w:space="0" w:color="auto"/>
              <w:right w:val="single" w:sz="4" w:space="0" w:color="auto"/>
            </w:tcBorders>
            <w:shd w:val="clear" w:color="auto" w:fill="auto"/>
            <w:vAlign w:val="center"/>
            <w:hideMark/>
          </w:tcPr>
          <w:p w14:paraId="7326CDFB"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273,244</w:t>
            </w:r>
          </w:p>
        </w:tc>
        <w:tc>
          <w:tcPr>
            <w:tcW w:w="1350" w:type="dxa"/>
            <w:tcBorders>
              <w:top w:val="nil"/>
              <w:left w:val="nil"/>
              <w:bottom w:val="single" w:sz="4" w:space="0" w:color="auto"/>
              <w:right w:val="single" w:sz="4" w:space="0" w:color="auto"/>
            </w:tcBorders>
            <w:shd w:val="clear" w:color="auto" w:fill="auto"/>
            <w:vAlign w:val="center"/>
            <w:hideMark/>
          </w:tcPr>
          <w:p w14:paraId="32B8F99D"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278,590</w:t>
            </w:r>
          </w:p>
        </w:tc>
        <w:tc>
          <w:tcPr>
            <w:tcW w:w="953" w:type="dxa"/>
            <w:tcBorders>
              <w:top w:val="nil"/>
              <w:left w:val="nil"/>
              <w:bottom w:val="single" w:sz="4" w:space="0" w:color="auto"/>
              <w:right w:val="single" w:sz="4" w:space="0" w:color="auto"/>
            </w:tcBorders>
            <w:shd w:val="clear" w:color="auto" w:fill="auto"/>
            <w:vAlign w:val="center"/>
            <w:hideMark/>
          </w:tcPr>
          <w:p w14:paraId="7D4CD75F"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0.98</w:t>
            </w:r>
          </w:p>
        </w:tc>
        <w:tc>
          <w:tcPr>
            <w:tcW w:w="1109" w:type="dxa"/>
            <w:tcBorders>
              <w:top w:val="nil"/>
              <w:left w:val="nil"/>
              <w:bottom w:val="single" w:sz="4" w:space="0" w:color="auto"/>
              <w:right w:val="single" w:sz="4" w:space="0" w:color="auto"/>
            </w:tcBorders>
            <w:shd w:val="clear" w:color="auto" w:fill="auto"/>
            <w:vAlign w:val="center"/>
            <w:hideMark/>
          </w:tcPr>
          <w:p w14:paraId="07EF4177"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-5,346</w:t>
            </w:r>
          </w:p>
        </w:tc>
        <w:tc>
          <w:tcPr>
            <w:tcW w:w="1223" w:type="dxa"/>
            <w:tcBorders>
              <w:top w:val="nil"/>
              <w:left w:val="nil"/>
              <w:bottom w:val="single" w:sz="4" w:space="0" w:color="auto"/>
              <w:right w:val="single" w:sz="4" w:space="0" w:color="auto"/>
            </w:tcBorders>
            <w:shd w:val="clear" w:color="auto" w:fill="auto"/>
            <w:vAlign w:val="center"/>
            <w:hideMark/>
          </w:tcPr>
          <w:p w14:paraId="00AF1FB7"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2%</w:t>
            </w:r>
          </w:p>
        </w:tc>
      </w:tr>
      <w:tr w:rsidR="009210B8" w:rsidRPr="007E01FD" w14:paraId="530B1FDB"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6339B1BC"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QLD</w:t>
            </w:r>
          </w:p>
        </w:tc>
        <w:tc>
          <w:tcPr>
            <w:tcW w:w="1073" w:type="dxa"/>
            <w:tcBorders>
              <w:top w:val="nil"/>
              <w:left w:val="nil"/>
              <w:bottom w:val="single" w:sz="4" w:space="0" w:color="auto"/>
              <w:right w:val="single" w:sz="4" w:space="0" w:color="auto"/>
            </w:tcBorders>
            <w:shd w:val="clear" w:color="auto" w:fill="auto"/>
            <w:vAlign w:val="center"/>
            <w:hideMark/>
          </w:tcPr>
          <w:p w14:paraId="37645B61"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207,498</w:t>
            </w:r>
          </w:p>
        </w:tc>
        <w:tc>
          <w:tcPr>
            <w:tcW w:w="1350" w:type="dxa"/>
            <w:tcBorders>
              <w:top w:val="nil"/>
              <w:left w:val="nil"/>
              <w:bottom w:val="single" w:sz="4" w:space="0" w:color="auto"/>
              <w:right w:val="single" w:sz="4" w:space="0" w:color="auto"/>
            </w:tcBorders>
            <w:shd w:val="clear" w:color="auto" w:fill="auto"/>
            <w:vAlign w:val="center"/>
            <w:hideMark/>
          </w:tcPr>
          <w:p w14:paraId="2012692A"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207,924</w:t>
            </w:r>
          </w:p>
        </w:tc>
        <w:tc>
          <w:tcPr>
            <w:tcW w:w="953" w:type="dxa"/>
            <w:tcBorders>
              <w:top w:val="nil"/>
              <w:left w:val="nil"/>
              <w:bottom w:val="single" w:sz="4" w:space="0" w:color="auto"/>
              <w:right w:val="single" w:sz="4" w:space="0" w:color="auto"/>
            </w:tcBorders>
            <w:shd w:val="clear" w:color="auto" w:fill="auto"/>
            <w:vAlign w:val="center"/>
            <w:hideMark/>
          </w:tcPr>
          <w:p w14:paraId="7D592A53"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1.00</w:t>
            </w:r>
          </w:p>
        </w:tc>
        <w:tc>
          <w:tcPr>
            <w:tcW w:w="1109" w:type="dxa"/>
            <w:tcBorders>
              <w:top w:val="nil"/>
              <w:left w:val="nil"/>
              <w:bottom w:val="single" w:sz="4" w:space="0" w:color="auto"/>
              <w:right w:val="single" w:sz="4" w:space="0" w:color="auto"/>
            </w:tcBorders>
            <w:shd w:val="clear" w:color="auto" w:fill="auto"/>
            <w:vAlign w:val="center"/>
            <w:hideMark/>
          </w:tcPr>
          <w:p w14:paraId="60B9A996"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-426</w:t>
            </w:r>
          </w:p>
        </w:tc>
        <w:tc>
          <w:tcPr>
            <w:tcW w:w="1223" w:type="dxa"/>
            <w:tcBorders>
              <w:top w:val="nil"/>
              <w:left w:val="nil"/>
              <w:bottom w:val="single" w:sz="4" w:space="0" w:color="auto"/>
              <w:right w:val="single" w:sz="4" w:space="0" w:color="auto"/>
            </w:tcBorders>
            <w:shd w:val="clear" w:color="auto" w:fill="auto"/>
            <w:vAlign w:val="center"/>
            <w:hideMark/>
          </w:tcPr>
          <w:p w14:paraId="4DABCE03"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w:t>
            </w:r>
          </w:p>
        </w:tc>
      </w:tr>
      <w:tr w:rsidR="009210B8" w:rsidRPr="007E01FD" w14:paraId="2921AB08"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6CD1FB6F" w14:textId="77777777" w:rsidR="009210B8" w:rsidRPr="007E01FD" w:rsidRDefault="009210B8" w:rsidP="009210B8">
            <w:pPr>
              <w:spacing w:after="0" w:line="240" w:lineRule="auto"/>
              <w:rPr>
                <w:rFonts w:cs="Calibri"/>
                <w:b/>
                <w:sz w:val="18"/>
                <w:szCs w:val="18"/>
                <w:lang w:eastAsia="en-AU"/>
              </w:rPr>
            </w:pPr>
            <w:r>
              <w:rPr>
                <w:rFonts w:cs="Calibri"/>
                <w:b/>
                <w:sz w:val="18"/>
                <w:szCs w:val="18"/>
                <w:lang w:eastAsia="en-AU"/>
              </w:rPr>
              <w:t>SA/NT</w:t>
            </w:r>
          </w:p>
        </w:tc>
        <w:tc>
          <w:tcPr>
            <w:tcW w:w="1073" w:type="dxa"/>
            <w:tcBorders>
              <w:top w:val="nil"/>
              <w:left w:val="nil"/>
              <w:bottom w:val="single" w:sz="4" w:space="0" w:color="auto"/>
              <w:right w:val="single" w:sz="4" w:space="0" w:color="auto"/>
            </w:tcBorders>
            <w:shd w:val="clear" w:color="auto" w:fill="auto"/>
            <w:vAlign w:val="center"/>
            <w:hideMark/>
          </w:tcPr>
          <w:p w14:paraId="4EA7BA39"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70,162</w:t>
            </w:r>
          </w:p>
        </w:tc>
        <w:tc>
          <w:tcPr>
            <w:tcW w:w="1350" w:type="dxa"/>
            <w:tcBorders>
              <w:top w:val="nil"/>
              <w:left w:val="nil"/>
              <w:bottom w:val="single" w:sz="4" w:space="0" w:color="auto"/>
              <w:right w:val="single" w:sz="4" w:space="0" w:color="auto"/>
            </w:tcBorders>
            <w:shd w:val="clear" w:color="auto" w:fill="auto"/>
            <w:vAlign w:val="center"/>
            <w:hideMark/>
          </w:tcPr>
          <w:p w14:paraId="13A001F0"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69,699</w:t>
            </w:r>
          </w:p>
        </w:tc>
        <w:tc>
          <w:tcPr>
            <w:tcW w:w="953" w:type="dxa"/>
            <w:tcBorders>
              <w:top w:val="nil"/>
              <w:left w:val="nil"/>
              <w:bottom w:val="single" w:sz="4" w:space="0" w:color="auto"/>
              <w:right w:val="single" w:sz="4" w:space="0" w:color="auto"/>
            </w:tcBorders>
            <w:shd w:val="clear" w:color="auto" w:fill="auto"/>
            <w:vAlign w:val="center"/>
            <w:hideMark/>
          </w:tcPr>
          <w:p w14:paraId="7C7716DF"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1.0</w:t>
            </w:r>
            <w:r>
              <w:rPr>
                <w:rFonts w:cs="Calibri"/>
                <w:sz w:val="18"/>
                <w:szCs w:val="18"/>
                <w:lang w:eastAsia="en-AU"/>
              </w:rPr>
              <w:t>1</w:t>
            </w:r>
          </w:p>
        </w:tc>
        <w:tc>
          <w:tcPr>
            <w:tcW w:w="1109" w:type="dxa"/>
            <w:tcBorders>
              <w:top w:val="nil"/>
              <w:left w:val="nil"/>
              <w:bottom w:val="single" w:sz="4" w:space="0" w:color="auto"/>
              <w:right w:val="single" w:sz="4" w:space="0" w:color="auto"/>
            </w:tcBorders>
            <w:shd w:val="clear" w:color="auto" w:fill="auto"/>
            <w:vAlign w:val="center"/>
            <w:hideMark/>
          </w:tcPr>
          <w:p w14:paraId="7FB55C2C"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463</w:t>
            </w:r>
          </w:p>
        </w:tc>
        <w:tc>
          <w:tcPr>
            <w:tcW w:w="1223" w:type="dxa"/>
            <w:tcBorders>
              <w:top w:val="nil"/>
              <w:left w:val="nil"/>
              <w:bottom w:val="single" w:sz="4" w:space="0" w:color="auto"/>
              <w:right w:val="single" w:sz="4" w:space="0" w:color="auto"/>
            </w:tcBorders>
            <w:shd w:val="clear" w:color="auto" w:fill="auto"/>
            <w:vAlign w:val="center"/>
            <w:hideMark/>
          </w:tcPr>
          <w:p w14:paraId="6B9E0B3A"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w:t>
            </w:r>
          </w:p>
        </w:tc>
      </w:tr>
      <w:tr w:rsidR="009210B8" w:rsidRPr="007E01FD" w14:paraId="6CE4B4AF"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0BAB083C"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WA</w:t>
            </w:r>
          </w:p>
        </w:tc>
        <w:tc>
          <w:tcPr>
            <w:tcW w:w="1073" w:type="dxa"/>
            <w:tcBorders>
              <w:top w:val="nil"/>
              <w:left w:val="nil"/>
              <w:bottom w:val="single" w:sz="4" w:space="0" w:color="auto"/>
              <w:right w:val="single" w:sz="4" w:space="0" w:color="auto"/>
            </w:tcBorders>
            <w:shd w:val="clear" w:color="auto" w:fill="auto"/>
            <w:vAlign w:val="center"/>
            <w:hideMark/>
          </w:tcPr>
          <w:p w14:paraId="3B678D5C"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103,837</w:t>
            </w:r>
          </w:p>
        </w:tc>
        <w:tc>
          <w:tcPr>
            <w:tcW w:w="1350" w:type="dxa"/>
            <w:tcBorders>
              <w:top w:val="nil"/>
              <w:left w:val="nil"/>
              <w:bottom w:val="single" w:sz="4" w:space="0" w:color="auto"/>
              <w:right w:val="single" w:sz="4" w:space="0" w:color="auto"/>
            </w:tcBorders>
            <w:shd w:val="clear" w:color="auto" w:fill="auto"/>
            <w:vAlign w:val="center"/>
            <w:hideMark/>
          </w:tcPr>
          <w:p w14:paraId="0EA6D8AB"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94,851</w:t>
            </w:r>
          </w:p>
        </w:tc>
        <w:tc>
          <w:tcPr>
            <w:tcW w:w="953" w:type="dxa"/>
            <w:tcBorders>
              <w:top w:val="nil"/>
              <w:left w:val="nil"/>
              <w:bottom w:val="single" w:sz="4" w:space="0" w:color="auto"/>
              <w:right w:val="single" w:sz="4" w:space="0" w:color="auto"/>
            </w:tcBorders>
            <w:shd w:val="clear" w:color="auto" w:fill="auto"/>
            <w:vAlign w:val="center"/>
            <w:hideMark/>
          </w:tcPr>
          <w:p w14:paraId="31D2CE38"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w:t>
            </w:r>
            <w:r>
              <w:rPr>
                <w:rFonts w:cs="Calibri"/>
                <w:sz w:val="18"/>
                <w:szCs w:val="18"/>
                <w:lang w:eastAsia="en-AU"/>
              </w:rPr>
              <w:t>10</w:t>
            </w:r>
          </w:p>
        </w:tc>
        <w:tc>
          <w:tcPr>
            <w:tcW w:w="1109" w:type="dxa"/>
            <w:tcBorders>
              <w:top w:val="nil"/>
              <w:left w:val="nil"/>
              <w:bottom w:val="single" w:sz="4" w:space="0" w:color="auto"/>
              <w:right w:val="single" w:sz="4" w:space="0" w:color="auto"/>
            </w:tcBorders>
            <w:shd w:val="clear" w:color="auto" w:fill="auto"/>
            <w:vAlign w:val="center"/>
            <w:hideMark/>
          </w:tcPr>
          <w:p w14:paraId="7F3E19B9"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8,986</w:t>
            </w:r>
          </w:p>
        </w:tc>
        <w:tc>
          <w:tcPr>
            <w:tcW w:w="1223" w:type="dxa"/>
            <w:tcBorders>
              <w:top w:val="nil"/>
              <w:left w:val="nil"/>
              <w:bottom w:val="single" w:sz="4" w:space="0" w:color="auto"/>
              <w:right w:val="single" w:sz="4" w:space="0" w:color="auto"/>
            </w:tcBorders>
            <w:shd w:val="clear" w:color="auto" w:fill="auto"/>
            <w:vAlign w:val="center"/>
            <w:hideMark/>
          </w:tcPr>
          <w:p w14:paraId="0C6DD72E"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10%</w:t>
            </w:r>
          </w:p>
        </w:tc>
      </w:tr>
      <w:tr w:rsidR="009210B8" w:rsidRPr="007E01FD" w14:paraId="189D5907"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000000" w:fill="E7E6E6"/>
            <w:vAlign w:val="center"/>
            <w:hideMark/>
          </w:tcPr>
          <w:p w14:paraId="1CF48786"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Total</w:t>
            </w:r>
          </w:p>
        </w:tc>
        <w:tc>
          <w:tcPr>
            <w:tcW w:w="1073" w:type="dxa"/>
            <w:tcBorders>
              <w:top w:val="nil"/>
              <w:left w:val="nil"/>
              <w:bottom w:val="single" w:sz="4" w:space="0" w:color="auto"/>
              <w:right w:val="single" w:sz="4" w:space="0" w:color="auto"/>
            </w:tcBorders>
            <w:shd w:val="clear" w:color="000000" w:fill="E7E6E6"/>
            <w:vAlign w:val="center"/>
            <w:hideMark/>
          </w:tcPr>
          <w:p w14:paraId="6BFFF386"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1,025,495</w:t>
            </w:r>
          </w:p>
        </w:tc>
        <w:tc>
          <w:tcPr>
            <w:tcW w:w="1350" w:type="dxa"/>
            <w:tcBorders>
              <w:top w:val="nil"/>
              <w:left w:val="nil"/>
              <w:bottom w:val="single" w:sz="4" w:space="0" w:color="auto"/>
              <w:right w:val="single" w:sz="4" w:space="0" w:color="auto"/>
            </w:tcBorders>
            <w:shd w:val="clear" w:color="000000" w:fill="E7E6E6"/>
            <w:vAlign w:val="center"/>
            <w:hideMark/>
          </w:tcPr>
          <w:p w14:paraId="552E3F55"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1,007,506</w:t>
            </w:r>
          </w:p>
        </w:tc>
        <w:tc>
          <w:tcPr>
            <w:tcW w:w="953" w:type="dxa"/>
            <w:tcBorders>
              <w:top w:val="nil"/>
              <w:left w:val="nil"/>
              <w:bottom w:val="single" w:sz="4" w:space="0" w:color="auto"/>
              <w:right w:val="single" w:sz="4" w:space="0" w:color="auto"/>
            </w:tcBorders>
            <w:shd w:val="clear" w:color="000000" w:fill="E7E6E6"/>
            <w:vAlign w:val="center"/>
            <w:hideMark/>
          </w:tcPr>
          <w:p w14:paraId="6A409032"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1.0</w:t>
            </w:r>
            <w:r>
              <w:rPr>
                <w:rFonts w:cs="Calibri"/>
                <w:b/>
                <w:sz w:val="18"/>
                <w:szCs w:val="18"/>
                <w:lang w:eastAsia="en-AU"/>
              </w:rPr>
              <w:t>2</w:t>
            </w:r>
          </w:p>
        </w:tc>
        <w:tc>
          <w:tcPr>
            <w:tcW w:w="1109" w:type="dxa"/>
            <w:tcBorders>
              <w:top w:val="nil"/>
              <w:left w:val="nil"/>
              <w:bottom w:val="single" w:sz="4" w:space="0" w:color="auto"/>
              <w:right w:val="single" w:sz="4" w:space="0" w:color="auto"/>
            </w:tcBorders>
            <w:shd w:val="clear" w:color="000000" w:fill="E7E6E6"/>
            <w:vAlign w:val="center"/>
            <w:hideMark/>
          </w:tcPr>
          <w:p w14:paraId="49E8B2B8"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17,989</w:t>
            </w:r>
          </w:p>
        </w:tc>
        <w:tc>
          <w:tcPr>
            <w:tcW w:w="1223" w:type="dxa"/>
            <w:tcBorders>
              <w:top w:val="nil"/>
              <w:left w:val="nil"/>
              <w:bottom w:val="single" w:sz="4" w:space="0" w:color="auto"/>
              <w:right w:val="single" w:sz="4" w:space="0" w:color="auto"/>
            </w:tcBorders>
            <w:shd w:val="clear" w:color="000000" w:fill="E7E6E6"/>
            <w:vAlign w:val="center"/>
            <w:hideMark/>
          </w:tcPr>
          <w:p w14:paraId="7F1D0D8A"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2%</w:t>
            </w:r>
          </w:p>
        </w:tc>
      </w:tr>
      <w:tr w:rsidR="009210B8" w:rsidRPr="007E01FD" w14:paraId="5F562C47" w14:textId="77777777" w:rsidTr="009210B8">
        <w:trPr>
          <w:gridAfter w:val="1"/>
          <w:wAfter w:w="6" w:type="dxa"/>
          <w:trHeight w:val="290"/>
        </w:trPr>
        <w:tc>
          <w:tcPr>
            <w:tcW w:w="7350" w:type="dxa"/>
            <w:gridSpan w:val="6"/>
            <w:tcBorders>
              <w:top w:val="nil"/>
              <w:left w:val="single" w:sz="4" w:space="0" w:color="auto"/>
              <w:bottom w:val="single" w:sz="4" w:space="0" w:color="auto"/>
              <w:right w:val="single" w:sz="4" w:space="0" w:color="auto"/>
            </w:tcBorders>
            <w:shd w:val="clear" w:color="auto" w:fill="A6A6A6"/>
            <w:vAlign w:val="center"/>
          </w:tcPr>
          <w:p w14:paraId="676D189D"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Pancreatic cancer</w:t>
            </w:r>
          </w:p>
        </w:tc>
      </w:tr>
      <w:tr w:rsidR="009210B8" w:rsidRPr="007E01FD" w14:paraId="7E894ADC"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tcPr>
          <w:p w14:paraId="07ED998E"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NSW/ACT</w:t>
            </w:r>
          </w:p>
        </w:tc>
        <w:tc>
          <w:tcPr>
            <w:tcW w:w="1073" w:type="dxa"/>
            <w:tcBorders>
              <w:top w:val="nil"/>
              <w:left w:val="nil"/>
              <w:bottom w:val="single" w:sz="4" w:space="0" w:color="auto"/>
              <w:right w:val="single" w:sz="4" w:space="0" w:color="auto"/>
            </w:tcBorders>
            <w:shd w:val="clear" w:color="auto" w:fill="auto"/>
            <w:vAlign w:val="center"/>
          </w:tcPr>
          <w:p w14:paraId="4128966E" w14:textId="77777777" w:rsidR="009210B8" w:rsidRPr="007E01FD" w:rsidRDefault="009210B8" w:rsidP="009210B8">
            <w:pPr>
              <w:spacing w:after="0" w:line="240" w:lineRule="auto"/>
              <w:jc w:val="right"/>
              <w:rPr>
                <w:rFonts w:cs="Calibri"/>
                <w:b/>
                <w:sz w:val="18"/>
                <w:szCs w:val="18"/>
                <w:lang w:eastAsia="en-AU"/>
              </w:rPr>
            </w:pPr>
            <w:r w:rsidRPr="008335C2">
              <w:rPr>
                <w:rFonts w:cs="Calibri"/>
                <w:b/>
                <w:sz w:val="18"/>
                <w:szCs w:val="18"/>
                <w:lang w:eastAsia="en-AU"/>
              </w:rPr>
              <w:t>2,076</w:t>
            </w:r>
          </w:p>
        </w:tc>
        <w:tc>
          <w:tcPr>
            <w:tcW w:w="1350" w:type="dxa"/>
            <w:tcBorders>
              <w:top w:val="nil"/>
              <w:left w:val="nil"/>
              <w:bottom w:val="single" w:sz="4" w:space="0" w:color="auto"/>
              <w:right w:val="single" w:sz="4" w:space="0" w:color="auto"/>
            </w:tcBorders>
            <w:shd w:val="clear" w:color="auto" w:fill="auto"/>
            <w:vAlign w:val="center"/>
          </w:tcPr>
          <w:p w14:paraId="4D1FDC7E" w14:textId="77777777" w:rsidR="009210B8" w:rsidRPr="007E01FD" w:rsidRDefault="009210B8" w:rsidP="009210B8">
            <w:pPr>
              <w:spacing w:after="0" w:line="240" w:lineRule="auto"/>
              <w:jc w:val="right"/>
              <w:rPr>
                <w:rFonts w:cs="Calibri"/>
                <w:b/>
                <w:sz w:val="18"/>
                <w:szCs w:val="18"/>
                <w:lang w:eastAsia="en-AU"/>
              </w:rPr>
            </w:pPr>
            <w:r w:rsidRPr="008335C2">
              <w:rPr>
                <w:rFonts w:cs="Calibri"/>
                <w:b/>
                <w:sz w:val="18"/>
                <w:szCs w:val="18"/>
                <w:lang w:eastAsia="en-AU"/>
              </w:rPr>
              <w:t>2,192</w:t>
            </w:r>
          </w:p>
        </w:tc>
        <w:tc>
          <w:tcPr>
            <w:tcW w:w="953" w:type="dxa"/>
            <w:tcBorders>
              <w:top w:val="nil"/>
              <w:left w:val="nil"/>
              <w:bottom w:val="single" w:sz="4" w:space="0" w:color="auto"/>
              <w:right w:val="single" w:sz="4" w:space="0" w:color="auto"/>
            </w:tcBorders>
            <w:shd w:val="clear" w:color="auto" w:fill="auto"/>
            <w:vAlign w:val="center"/>
          </w:tcPr>
          <w:p w14:paraId="5A5AA224" w14:textId="77777777" w:rsidR="009210B8" w:rsidRPr="007E01FD" w:rsidRDefault="009210B8" w:rsidP="009210B8">
            <w:pPr>
              <w:spacing w:after="0" w:line="240" w:lineRule="auto"/>
              <w:jc w:val="right"/>
              <w:rPr>
                <w:rFonts w:cs="Calibri"/>
                <w:b/>
                <w:sz w:val="18"/>
                <w:szCs w:val="18"/>
                <w:lang w:eastAsia="en-AU"/>
              </w:rPr>
            </w:pPr>
            <w:r w:rsidRPr="008335C2">
              <w:rPr>
                <w:rFonts w:cs="Calibri"/>
                <w:b/>
                <w:sz w:val="18"/>
                <w:szCs w:val="18"/>
                <w:lang w:eastAsia="en-AU"/>
              </w:rPr>
              <w:t>0.95</w:t>
            </w:r>
          </w:p>
        </w:tc>
        <w:tc>
          <w:tcPr>
            <w:tcW w:w="1109" w:type="dxa"/>
            <w:tcBorders>
              <w:top w:val="nil"/>
              <w:left w:val="nil"/>
              <w:bottom w:val="single" w:sz="4" w:space="0" w:color="auto"/>
              <w:right w:val="single" w:sz="4" w:space="0" w:color="auto"/>
            </w:tcBorders>
            <w:shd w:val="clear" w:color="auto" w:fill="auto"/>
            <w:vAlign w:val="center"/>
          </w:tcPr>
          <w:p w14:paraId="620B2D25" w14:textId="77777777" w:rsidR="009210B8" w:rsidRPr="007E01FD" w:rsidRDefault="009210B8" w:rsidP="009210B8">
            <w:pPr>
              <w:spacing w:after="0" w:line="240" w:lineRule="auto"/>
              <w:jc w:val="right"/>
              <w:rPr>
                <w:rFonts w:cs="Calibri"/>
                <w:b/>
                <w:sz w:val="18"/>
                <w:szCs w:val="18"/>
                <w:lang w:eastAsia="en-AU"/>
              </w:rPr>
            </w:pPr>
            <w:r w:rsidRPr="008335C2">
              <w:rPr>
                <w:rFonts w:cs="Calibri"/>
                <w:b/>
                <w:sz w:val="18"/>
                <w:szCs w:val="18"/>
                <w:lang w:eastAsia="en-AU"/>
              </w:rPr>
              <w:t>-116</w:t>
            </w:r>
          </w:p>
        </w:tc>
        <w:tc>
          <w:tcPr>
            <w:tcW w:w="1223" w:type="dxa"/>
            <w:tcBorders>
              <w:top w:val="nil"/>
              <w:left w:val="nil"/>
              <w:bottom w:val="single" w:sz="4" w:space="0" w:color="auto"/>
              <w:right w:val="single" w:sz="4" w:space="0" w:color="auto"/>
            </w:tcBorders>
            <w:shd w:val="clear" w:color="auto" w:fill="auto"/>
            <w:vAlign w:val="center"/>
          </w:tcPr>
          <w:p w14:paraId="61CFDE20" w14:textId="77777777" w:rsidR="009210B8" w:rsidRPr="007E01FD" w:rsidRDefault="009210B8" w:rsidP="009210B8">
            <w:pPr>
              <w:spacing w:after="0" w:line="240" w:lineRule="auto"/>
              <w:jc w:val="right"/>
              <w:rPr>
                <w:rFonts w:cs="Calibri"/>
                <w:b/>
                <w:sz w:val="18"/>
                <w:szCs w:val="18"/>
                <w:lang w:eastAsia="en-AU"/>
              </w:rPr>
            </w:pPr>
            <w:r w:rsidRPr="008335C2">
              <w:rPr>
                <w:rFonts w:cs="Calibri"/>
                <w:b/>
                <w:sz w:val="18"/>
                <w:szCs w:val="18"/>
                <w:lang w:eastAsia="en-AU"/>
              </w:rPr>
              <w:t>-5%</w:t>
            </w:r>
          </w:p>
        </w:tc>
      </w:tr>
      <w:tr w:rsidR="009210B8" w:rsidRPr="007E01FD" w14:paraId="22ED0CF7"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tcPr>
          <w:p w14:paraId="7409E6EF"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VIC/TAS</w:t>
            </w:r>
          </w:p>
        </w:tc>
        <w:tc>
          <w:tcPr>
            <w:tcW w:w="1073" w:type="dxa"/>
            <w:tcBorders>
              <w:top w:val="nil"/>
              <w:left w:val="nil"/>
              <w:bottom w:val="single" w:sz="4" w:space="0" w:color="auto"/>
              <w:right w:val="single" w:sz="4" w:space="0" w:color="auto"/>
            </w:tcBorders>
            <w:shd w:val="clear" w:color="auto" w:fill="auto"/>
            <w:vAlign w:val="center"/>
          </w:tcPr>
          <w:p w14:paraId="3AED5955" w14:textId="77777777" w:rsidR="009210B8" w:rsidRPr="007E01FD" w:rsidRDefault="009210B8" w:rsidP="009210B8">
            <w:pPr>
              <w:spacing w:after="0" w:line="240" w:lineRule="auto"/>
              <w:jc w:val="right"/>
              <w:rPr>
                <w:rFonts w:cs="Calibri"/>
                <w:b/>
                <w:sz w:val="18"/>
                <w:szCs w:val="18"/>
                <w:lang w:eastAsia="en-AU"/>
              </w:rPr>
            </w:pPr>
            <w:r w:rsidRPr="008335C2">
              <w:rPr>
                <w:rFonts w:cs="Calibri"/>
                <w:b/>
                <w:sz w:val="18"/>
                <w:szCs w:val="18"/>
                <w:lang w:eastAsia="en-AU"/>
              </w:rPr>
              <w:t>1,073</w:t>
            </w:r>
          </w:p>
        </w:tc>
        <w:tc>
          <w:tcPr>
            <w:tcW w:w="1350" w:type="dxa"/>
            <w:tcBorders>
              <w:top w:val="nil"/>
              <w:left w:val="nil"/>
              <w:bottom w:val="single" w:sz="4" w:space="0" w:color="auto"/>
              <w:right w:val="single" w:sz="4" w:space="0" w:color="auto"/>
            </w:tcBorders>
            <w:shd w:val="clear" w:color="auto" w:fill="auto"/>
            <w:vAlign w:val="center"/>
          </w:tcPr>
          <w:p w14:paraId="3E88EB1E" w14:textId="77777777" w:rsidR="009210B8" w:rsidRPr="007E01FD" w:rsidRDefault="009210B8" w:rsidP="009210B8">
            <w:pPr>
              <w:spacing w:after="0" w:line="240" w:lineRule="auto"/>
              <w:jc w:val="right"/>
              <w:rPr>
                <w:rFonts w:cs="Calibri"/>
                <w:b/>
                <w:sz w:val="18"/>
                <w:szCs w:val="18"/>
                <w:lang w:eastAsia="en-AU"/>
              </w:rPr>
            </w:pPr>
            <w:r w:rsidRPr="008335C2">
              <w:rPr>
                <w:rFonts w:cs="Calibri"/>
                <w:b/>
                <w:sz w:val="18"/>
                <w:szCs w:val="18"/>
                <w:lang w:eastAsia="en-AU"/>
              </w:rPr>
              <w:t>1,327</w:t>
            </w:r>
          </w:p>
        </w:tc>
        <w:tc>
          <w:tcPr>
            <w:tcW w:w="953" w:type="dxa"/>
            <w:tcBorders>
              <w:top w:val="nil"/>
              <w:left w:val="nil"/>
              <w:bottom w:val="single" w:sz="4" w:space="0" w:color="auto"/>
              <w:right w:val="single" w:sz="4" w:space="0" w:color="auto"/>
            </w:tcBorders>
            <w:shd w:val="clear" w:color="auto" w:fill="auto"/>
            <w:vAlign w:val="center"/>
          </w:tcPr>
          <w:p w14:paraId="25B0C48D" w14:textId="77777777" w:rsidR="009210B8" w:rsidRPr="007E01FD" w:rsidRDefault="009210B8" w:rsidP="009210B8">
            <w:pPr>
              <w:spacing w:after="0" w:line="240" w:lineRule="auto"/>
              <w:jc w:val="right"/>
              <w:rPr>
                <w:rFonts w:cs="Calibri"/>
                <w:b/>
                <w:sz w:val="18"/>
                <w:szCs w:val="18"/>
                <w:lang w:eastAsia="en-AU"/>
              </w:rPr>
            </w:pPr>
            <w:r w:rsidRPr="008335C2">
              <w:rPr>
                <w:rFonts w:cs="Calibri"/>
                <w:b/>
                <w:sz w:val="18"/>
                <w:szCs w:val="18"/>
                <w:lang w:eastAsia="en-AU"/>
              </w:rPr>
              <w:t>0.81</w:t>
            </w:r>
          </w:p>
        </w:tc>
        <w:tc>
          <w:tcPr>
            <w:tcW w:w="1109" w:type="dxa"/>
            <w:tcBorders>
              <w:top w:val="nil"/>
              <w:left w:val="nil"/>
              <w:bottom w:val="single" w:sz="4" w:space="0" w:color="auto"/>
              <w:right w:val="single" w:sz="4" w:space="0" w:color="auto"/>
            </w:tcBorders>
            <w:shd w:val="clear" w:color="auto" w:fill="auto"/>
            <w:vAlign w:val="center"/>
          </w:tcPr>
          <w:p w14:paraId="09712939" w14:textId="77777777" w:rsidR="009210B8" w:rsidRPr="007E01FD" w:rsidRDefault="009210B8" w:rsidP="009210B8">
            <w:pPr>
              <w:spacing w:after="0" w:line="240" w:lineRule="auto"/>
              <w:jc w:val="right"/>
              <w:rPr>
                <w:rFonts w:cs="Calibri"/>
                <w:b/>
                <w:sz w:val="18"/>
                <w:szCs w:val="18"/>
                <w:lang w:eastAsia="en-AU"/>
              </w:rPr>
            </w:pPr>
            <w:r w:rsidRPr="008335C2">
              <w:rPr>
                <w:rFonts w:cs="Calibri"/>
                <w:b/>
                <w:sz w:val="18"/>
                <w:szCs w:val="18"/>
                <w:lang w:eastAsia="en-AU"/>
              </w:rPr>
              <w:t>-254</w:t>
            </w:r>
          </w:p>
        </w:tc>
        <w:tc>
          <w:tcPr>
            <w:tcW w:w="1223" w:type="dxa"/>
            <w:tcBorders>
              <w:top w:val="nil"/>
              <w:left w:val="nil"/>
              <w:bottom w:val="single" w:sz="4" w:space="0" w:color="auto"/>
              <w:right w:val="single" w:sz="4" w:space="0" w:color="auto"/>
            </w:tcBorders>
            <w:shd w:val="clear" w:color="auto" w:fill="auto"/>
            <w:vAlign w:val="center"/>
          </w:tcPr>
          <w:p w14:paraId="55471492" w14:textId="77777777" w:rsidR="009210B8" w:rsidRPr="007E01FD" w:rsidRDefault="009210B8" w:rsidP="009210B8">
            <w:pPr>
              <w:spacing w:after="0" w:line="240" w:lineRule="auto"/>
              <w:jc w:val="right"/>
              <w:rPr>
                <w:rFonts w:cs="Calibri"/>
                <w:b/>
                <w:sz w:val="18"/>
                <w:szCs w:val="18"/>
                <w:lang w:eastAsia="en-AU"/>
              </w:rPr>
            </w:pPr>
            <w:r w:rsidRPr="008335C2">
              <w:rPr>
                <w:rFonts w:cs="Calibri"/>
                <w:b/>
                <w:sz w:val="18"/>
                <w:szCs w:val="18"/>
                <w:lang w:eastAsia="en-AU"/>
              </w:rPr>
              <w:t>-19%</w:t>
            </w:r>
          </w:p>
        </w:tc>
      </w:tr>
      <w:tr w:rsidR="009210B8" w:rsidRPr="007E01FD" w14:paraId="79AC59C6"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tcPr>
          <w:p w14:paraId="7B173718"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QLD</w:t>
            </w:r>
          </w:p>
        </w:tc>
        <w:tc>
          <w:tcPr>
            <w:tcW w:w="1073" w:type="dxa"/>
            <w:tcBorders>
              <w:top w:val="nil"/>
              <w:left w:val="nil"/>
              <w:bottom w:val="single" w:sz="4" w:space="0" w:color="auto"/>
              <w:right w:val="single" w:sz="4" w:space="0" w:color="auto"/>
            </w:tcBorders>
            <w:shd w:val="clear" w:color="auto" w:fill="auto"/>
            <w:vAlign w:val="center"/>
          </w:tcPr>
          <w:p w14:paraId="44A98BFB" w14:textId="77777777" w:rsidR="009210B8" w:rsidRPr="007E01FD" w:rsidRDefault="009210B8" w:rsidP="009210B8">
            <w:pPr>
              <w:spacing w:after="0" w:line="240" w:lineRule="auto"/>
              <w:jc w:val="right"/>
              <w:rPr>
                <w:rFonts w:cs="Calibri"/>
                <w:b/>
                <w:sz w:val="18"/>
                <w:szCs w:val="18"/>
                <w:lang w:eastAsia="en-AU"/>
              </w:rPr>
            </w:pPr>
            <w:r w:rsidRPr="008335C2">
              <w:rPr>
                <w:rFonts w:cs="Calibri"/>
                <w:b/>
                <w:sz w:val="18"/>
                <w:szCs w:val="18"/>
                <w:lang w:eastAsia="en-AU"/>
              </w:rPr>
              <w:t>892</w:t>
            </w:r>
          </w:p>
        </w:tc>
        <w:tc>
          <w:tcPr>
            <w:tcW w:w="1350" w:type="dxa"/>
            <w:tcBorders>
              <w:top w:val="nil"/>
              <w:left w:val="nil"/>
              <w:bottom w:val="single" w:sz="4" w:space="0" w:color="auto"/>
              <w:right w:val="single" w:sz="4" w:space="0" w:color="auto"/>
            </w:tcBorders>
            <w:shd w:val="clear" w:color="auto" w:fill="auto"/>
            <w:vAlign w:val="center"/>
          </w:tcPr>
          <w:p w14:paraId="376BE431" w14:textId="77777777" w:rsidR="009210B8" w:rsidRPr="007E01FD" w:rsidRDefault="009210B8" w:rsidP="009210B8">
            <w:pPr>
              <w:spacing w:after="0" w:line="240" w:lineRule="auto"/>
              <w:jc w:val="right"/>
              <w:rPr>
                <w:rFonts w:cs="Calibri"/>
                <w:b/>
                <w:sz w:val="18"/>
                <w:szCs w:val="18"/>
                <w:lang w:eastAsia="en-AU"/>
              </w:rPr>
            </w:pPr>
            <w:r w:rsidRPr="008335C2">
              <w:rPr>
                <w:rFonts w:cs="Calibri"/>
                <w:b/>
                <w:sz w:val="18"/>
                <w:szCs w:val="18"/>
                <w:lang w:eastAsia="en-AU"/>
              </w:rPr>
              <w:t>806</w:t>
            </w:r>
          </w:p>
        </w:tc>
        <w:tc>
          <w:tcPr>
            <w:tcW w:w="953" w:type="dxa"/>
            <w:tcBorders>
              <w:top w:val="nil"/>
              <w:left w:val="nil"/>
              <w:bottom w:val="single" w:sz="4" w:space="0" w:color="auto"/>
              <w:right w:val="single" w:sz="4" w:space="0" w:color="auto"/>
            </w:tcBorders>
            <w:shd w:val="clear" w:color="auto" w:fill="auto"/>
            <w:vAlign w:val="center"/>
          </w:tcPr>
          <w:p w14:paraId="411DF4A2" w14:textId="77777777" w:rsidR="009210B8" w:rsidRPr="007E01FD" w:rsidRDefault="009210B8" w:rsidP="009210B8">
            <w:pPr>
              <w:spacing w:after="0" w:line="240" w:lineRule="auto"/>
              <w:jc w:val="right"/>
              <w:rPr>
                <w:rFonts w:cs="Calibri"/>
                <w:b/>
                <w:sz w:val="18"/>
                <w:szCs w:val="18"/>
                <w:lang w:eastAsia="en-AU"/>
              </w:rPr>
            </w:pPr>
            <w:r w:rsidRPr="008335C2">
              <w:rPr>
                <w:rFonts w:cs="Calibri"/>
                <w:b/>
                <w:sz w:val="18"/>
                <w:szCs w:val="18"/>
                <w:lang w:eastAsia="en-AU"/>
              </w:rPr>
              <w:t>1.11</w:t>
            </w:r>
          </w:p>
        </w:tc>
        <w:tc>
          <w:tcPr>
            <w:tcW w:w="1109" w:type="dxa"/>
            <w:tcBorders>
              <w:top w:val="nil"/>
              <w:left w:val="nil"/>
              <w:bottom w:val="single" w:sz="4" w:space="0" w:color="auto"/>
              <w:right w:val="single" w:sz="4" w:space="0" w:color="auto"/>
            </w:tcBorders>
            <w:shd w:val="clear" w:color="auto" w:fill="auto"/>
            <w:vAlign w:val="center"/>
          </w:tcPr>
          <w:p w14:paraId="353EB39C" w14:textId="77777777" w:rsidR="009210B8" w:rsidRPr="007E01FD" w:rsidRDefault="009210B8" w:rsidP="009210B8">
            <w:pPr>
              <w:spacing w:after="0" w:line="240" w:lineRule="auto"/>
              <w:jc w:val="right"/>
              <w:rPr>
                <w:rFonts w:cs="Calibri"/>
                <w:b/>
                <w:sz w:val="18"/>
                <w:szCs w:val="18"/>
                <w:lang w:eastAsia="en-AU"/>
              </w:rPr>
            </w:pPr>
            <w:r w:rsidRPr="008335C2">
              <w:rPr>
                <w:rFonts w:cs="Calibri"/>
                <w:b/>
                <w:sz w:val="18"/>
                <w:szCs w:val="18"/>
                <w:lang w:eastAsia="en-AU"/>
              </w:rPr>
              <w:t>86</w:t>
            </w:r>
          </w:p>
        </w:tc>
        <w:tc>
          <w:tcPr>
            <w:tcW w:w="1223" w:type="dxa"/>
            <w:tcBorders>
              <w:top w:val="nil"/>
              <w:left w:val="nil"/>
              <w:bottom w:val="single" w:sz="4" w:space="0" w:color="auto"/>
              <w:right w:val="single" w:sz="4" w:space="0" w:color="auto"/>
            </w:tcBorders>
            <w:shd w:val="clear" w:color="auto" w:fill="auto"/>
            <w:vAlign w:val="center"/>
          </w:tcPr>
          <w:p w14:paraId="417D2976" w14:textId="77777777" w:rsidR="009210B8" w:rsidRPr="007E01FD" w:rsidRDefault="009210B8" w:rsidP="009210B8">
            <w:pPr>
              <w:spacing w:after="0" w:line="240" w:lineRule="auto"/>
              <w:jc w:val="right"/>
              <w:rPr>
                <w:rFonts w:cs="Calibri"/>
                <w:b/>
                <w:sz w:val="18"/>
                <w:szCs w:val="18"/>
                <w:lang w:eastAsia="en-AU"/>
              </w:rPr>
            </w:pPr>
            <w:r w:rsidRPr="008335C2">
              <w:rPr>
                <w:rFonts w:cs="Calibri"/>
                <w:b/>
                <w:sz w:val="18"/>
                <w:szCs w:val="18"/>
                <w:lang w:eastAsia="en-AU"/>
              </w:rPr>
              <w:t>11%</w:t>
            </w:r>
          </w:p>
        </w:tc>
      </w:tr>
      <w:tr w:rsidR="009210B8" w:rsidRPr="007E01FD" w14:paraId="6AC4BAED"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tcPr>
          <w:p w14:paraId="63FCECD3"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SA/NT</w:t>
            </w:r>
          </w:p>
        </w:tc>
        <w:tc>
          <w:tcPr>
            <w:tcW w:w="1073" w:type="dxa"/>
            <w:tcBorders>
              <w:top w:val="nil"/>
              <w:left w:val="nil"/>
              <w:bottom w:val="single" w:sz="4" w:space="0" w:color="auto"/>
              <w:right w:val="single" w:sz="4" w:space="0" w:color="auto"/>
            </w:tcBorders>
            <w:shd w:val="clear" w:color="auto" w:fill="auto"/>
            <w:vAlign w:val="center"/>
          </w:tcPr>
          <w:p w14:paraId="79164A11" w14:textId="77777777" w:rsidR="009210B8" w:rsidRPr="007E01FD" w:rsidRDefault="009210B8" w:rsidP="009210B8">
            <w:pPr>
              <w:spacing w:after="0" w:line="240" w:lineRule="auto"/>
              <w:jc w:val="right"/>
              <w:rPr>
                <w:rFonts w:cs="Calibri"/>
                <w:b/>
                <w:sz w:val="18"/>
                <w:szCs w:val="18"/>
                <w:lang w:eastAsia="en-AU"/>
              </w:rPr>
            </w:pPr>
            <w:r w:rsidRPr="008335C2">
              <w:rPr>
                <w:rFonts w:cs="Calibri"/>
                <w:b/>
                <w:sz w:val="18"/>
                <w:szCs w:val="18"/>
                <w:lang w:eastAsia="en-AU"/>
              </w:rPr>
              <w:t>524</w:t>
            </w:r>
          </w:p>
        </w:tc>
        <w:tc>
          <w:tcPr>
            <w:tcW w:w="1350" w:type="dxa"/>
            <w:tcBorders>
              <w:top w:val="nil"/>
              <w:left w:val="nil"/>
              <w:bottom w:val="single" w:sz="4" w:space="0" w:color="auto"/>
              <w:right w:val="single" w:sz="4" w:space="0" w:color="auto"/>
            </w:tcBorders>
            <w:shd w:val="clear" w:color="auto" w:fill="auto"/>
            <w:vAlign w:val="center"/>
          </w:tcPr>
          <w:p w14:paraId="67247233" w14:textId="77777777" w:rsidR="009210B8" w:rsidRPr="007E01FD" w:rsidRDefault="009210B8" w:rsidP="009210B8">
            <w:pPr>
              <w:spacing w:after="0" w:line="240" w:lineRule="auto"/>
              <w:jc w:val="right"/>
              <w:rPr>
                <w:rFonts w:cs="Calibri"/>
                <w:b/>
                <w:sz w:val="18"/>
                <w:szCs w:val="18"/>
                <w:lang w:eastAsia="en-AU"/>
              </w:rPr>
            </w:pPr>
            <w:r w:rsidRPr="008335C2">
              <w:rPr>
                <w:rFonts w:cs="Calibri"/>
                <w:b/>
                <w:sz w:val="18"/>
                <w:szCs w:val="18"/>
                <w:lang w:eastAsia="en-AU"/>
              </w:rPr>
              <w:t>587</w:t>
            </w:r>
          </w:p>
        </w:tc>
        <w:tc>
          <w:tcPr>
            <w:tcW w:w="953" w:type="dxa"/>
            <w:tcBorders>
              <w:top w:val="nil"/>
              <w:left w:val="nil"/>
              <w:bottom w:val="single" w:sz="4" w:space="0" w:color="auto"/>
              <w:right w:val="single" w:sz="4" w:space="0" w:color="auto"/>
            </w:tcBorders>
            <w:shd w:val="clear" w:color="auto" w:fill="auto"/>
            <w:vAlign w:val="center"/>
          </w:tcPr>
          <w:p w14:paraId="7C3DEA76" w14:textId="77777777" w:rsidR="009210B8" w:rsidRPr="007E01FD" w:rsidRDefault="009210B8" w:rsidP="009210B8">
            <w:pPr>
              <w:spacing w:after="0" w:line="240" w:lineRule="auto"/>
              <w:jc w:val="right"/>
              <w:rPr>
                <w:rFonts w:cs="Calibri"/>
                <w:b/>
                <w:sz w:val="18"/>
                <w:szCs w:val="18"/>
                <w:lang w:eastAsia="en-AU"/>
              </w:rPr>
            </w:pPr>
            <w:r w:rsidRPr="008335C2">
              <w:rPr>
                <w:rFonts w:cs="Calibri"/>
                <w:b/>
                <w:sz w:val="18"/>
                <w:szCs w:val="18"/>
                <w:lang w:eastAsia="en-AU"/>
              </w:rPr>
              <w:t>0.89</w:t>
            </w:r>
          </w:p>
        </w:tc>
        <w:tc>
          <w:tcPr>
            <w:tcW w:w="1109" w:type="dxa"/>
            <w:tcBorders>
              <w:top w:val="nil"/>
              <w:left w:val="nil"/>
              <w:bottom w:val="single" w:sz="4" w:space="0" w:color="auto"/>
              <w:right w:val="single" w:sz="4" w:space="0" w:color="auto"/>
            </w:tcBorders>
            <w:shd w:val="clear" w:color="auto" w:fill="auto"/>
            <w:vAlign w:val="center"/>
          </w:tcPr>
          <w:p w14:paraId="6E58AC32" w14:textId="77777777" w:rsidR="009210B8" w:rsidRPr="007E01FD" w:rsidRDefault="009210B8" w:rsidP="009210B8">
            <w:pPr>
              <w:spacing w:after="0" w:line="240" w:lineRule="auto"/>
              <w:jc w:val="right"/>
              <w:rPr>
                <w:rFonts w:cs="Calibri"/>
                <w:b/>
                <w:sz w:val="18"/>
                <w:szCs w:val="18"/>
                <w:lang w:eastAsia="en-AU"/>
              </w:rPr>
            </w:pPr>
            <w:r w:rsidRPr="008335C2">
              <w:rPr>
                <w:rFonts w:cs="Calibri"/>
                <w:b/>
                <w:sz w:val="18"/>
                <w:szCs w:val="18"/>
                <w:lang w:eastAsia="en-AU"/>
              </w:rPr>
              <w:t>-63</w:t>
            </w:r>
          </w:p>
        </w:tc>
        <w:tc>
          <w:tcPr>
            <w:tcW w:w="1223" w:type="dxa"/>
            <w:tcBorders>
              <w:top w:val="nil"/>
              <w:left w:val="nil"/>
              <w:bottom w:val="single" w:sz="4" w:space="0" w:color="auto"/>
              <w:right w:val="single" w:sz="4" w:space="0" w:color="auto"/>
            </w:tcBorders>
            <w:shd w:val="clear" w:color="auto" w:fill="auto"/>
            <w:vAlign w:val="center"/>
          </w:tcPr>
          <w:p w14:paraId="5AD2F9C4" w14:textId="77777777" w:rsidR="009210B8" w:rsidRPr="007E01FD" w:rsidRDefault="009210B8" w:rsidP="009210B8">
            <w:pPr>
              <w:spacing w:after="0" w:line="240" w:lineRule="auto"/>
              <w:jc w:val="right"/>
              <w:rPr>
                <w:rFonts w:cs="Calibri"/>
                <w:b/>
                <w:sz w:val="18"/>
                <w:szCs w:val="18"/>
                <w:lang w:eastAsia="en-AU"/>
              </w:rPr>
            </w:pPr>
            <w:r w:rsidRPr="008335C2">
              <w:rPr>
                <w:rFonts w:cs="Calibri"/>
                <w:b/>
                <w:sz w:val="18"/>
                <w:szCs w:val="18"/>
                <w:lang w:eastAsia="en-AU"/>
              </w:rPr>
              <w:t>-11%</w:t>
            </w:r>
          </w:p>
        </w:tc>
      </w:tr>
      <w:tr w:rsidR="009210B8" w:rsidRPr="007E01FD" w14:paraId="04D00816"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tcPr>
          <w:p w14:paraId="1844176D"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WA</w:t>
            </w:r>
          </w:p>
        </w:tc>
        <w:tc>
          <w:tcPr>
            <w:tcW w:w="1073" w:type="dxa"/>
            <w:tcBorders>
              <w:top w:val="nil"/>
              <w:left w:val="nil"/>
              <w:bottom w:val="single" w:sz="4" w:space="0" w:color="auto"/>
              <w:right w:val="single" w:sz="4" w:space="0" w:color="auto"/>
            </w:tcBorders>
            <w:shd w:val="clear" w:color="auto" w:fill="auto"/>
            <w:vAlign w:val="center"/>
          </w:tcPr>
          <w:p w14:paraId="074377B5" w14:textId="77777777" w:rsidR="009210B8" w:rsidRPr="007E01FD" w:rsidRDefault="009210B8" w:rsidP="009210B8">
            <w:pPr>
              <w:spacing w:after="0" w:line="240" w:lineRule="auto"/>
              <w:jc w:val="right"/>
              <w:rPr>
                <w:rFonts w:cs="Calibri"/>
                <w:b/>
                <w:sz w:val="18"/>
                <w:szCs w:val="18"/>
                <w:lang w:eastAsia="en-AU"/>
              </w:rPr>
            </w:pPr>
            <w:r w:rsidRPr="008335C2">
              <w:rPr>
                <w:rFonts w:cs="Calibri"/>
                <w:b/>
                <w:sz w:val="18"/>
                <w:szCs w:val="18"/>
                <w:lang w:eastAsia="en-AU"/>
              </w:rPr>
              <w:t>377</w:t>
            </w:r>
          </w:p>
        </w:tc>
        <w:tc>
          <w:tcPr>
            <w:tcW w:w="1350" w:type="dxa"/>
            <w:tcBorders>
              <w:top w:val="nil"/>
              <w:left w:val="nil"/>
              <w:bottom w:val="single" w:sz="4" w:space="0" w:color="auto"/>
              <w:right w:val="single" w:sz="4" w:space="0" w:color="auto"/>
            </w:tcBorders>
            <w:shd w:val="clear" w:color="auto" w:fill="auto"/>
            <w:vAlign w:val="center"/>
          </w:tcPr>
          <w:p w14:paraId="42541CB1" w14:textId="77777777" w:rsidR="009210B8" w:rsidRPr="007E01FD" w:rsidRDefault="009210B8" w:rsidP="009210B8">
            <w:pPr>
              <w:spacing w:after="0" w:line="240" w:lineRule="auto"/>
              <w:jc w:val="right"/>
              <w:rPr>
                <w:rFonts w:cs="Calibri"/>
                <w:b/>
                <w:sz w:val="18"/>
                <w:szCs w:val="18"/>
                <w:lang w:eastAsia="en-AU"/>
              </w:rPr>
            </w:pPr>
            <w:r w:rsidRPr="008335C2">
              <w:rPr>
                <w:rFonts w:cs="Calibri"/>
                <w:b/>
                <w:sz w:val="18"/>
                <w:szCs w:val="18"/>
                <w:lang w:eastAsia="en-AU"/>
              </w:rPr>
              <w:t>381</w:t>
            </w:r>
          </w:p>
        </w:tc>
        <w:tc>
          <w:tcPr>
            <w:tcW w:w="953" w:type="dxa"/>
            <w:tcBorders>
              <w:top w:val="nil"/>
              <w:left w:val="nil"/>
              <w:bottom w:val="single" w:sz="4" w:space="0" w:color="auto"/>
              <w:right w:val="single" w:sz="4" w:space="0" w:color="auto"/>
            </w:tcBorders>
            <w:shd w:val="clear" w:color="auto" w:fill="auto"/>
            <w:vAlign w:val="center"/>
          </w:tcPr>
          <w:p w14:paraId="2FDD8626" w14:textId="77777777" w:rsidR="009210B8" w:rsidRPr="007E01FD" w:rsidRDefault="009210B8" w:rsidP="009210B8">
            <w:pPr>
              <w:spacing w:after="0" w:line="240" w:lineRule="auto"/>
              <w:jc w:val="right"/>
              <w:rPr>
                <w:rFonts w:cs="Calibri"/>
                <w:b/>
                <w:sz w:val="18"/>
                <w:szCs w:val="18"/>
                <w:lang w:eastAsia="en-AU"/>
              </w:rPr>
            </w:pPr>
            <w:r w:rsidRPr="008335C2">
              <w:rPr>
                <w:rFonts w:cs="Calibri"/>
                <w:b/>
                <w:sz w:val="18"/>
                <w:szCs w:val="18"/>
                <w:lang w:eastAsia="en-AU"/>
              </w:rPr>
              <w:t>0.99</w:t>
            </w:r>
          </w:p>
        </w:tc>
        <w:tc>
          <w:tcPr>
            <w:tcW w:w="1109" w:type="dxa"/>
            <w:tcBorders>
              <w:top w:val="nil"/>
              <w:left w:val="nil"/>
              <w:bottom w:val="single" w:sz="4" w:space="0" w:color="auto"/>
              <w:right w:val="single" w:sz="4" w:space="0" w:color="auto"/>
            </w:tcBorders>
            <w:shd w:val="clear" w:color="auto" w:fill="auto"/>
            <w:vAlign w:val="center"/>
          </w:tcPr>
          <w:p w14:paraId="60701D18" w14:textId="77777777" w:rsidR="009210B8" w:rsidRPr="007E01FD" w:rsidRDefault="009210B8" w:rsidP="009210B8">
            <w:pPr>
              <w:spacing w:after="0" w:line="240" w:lineRule="auto"/>
              <w:jc w:val="right"/>
              <w:rPr>
                <w:rFonts w:cs="Calibri"/>
                <w:b/>
                <w:sz w:val="18"/>
                <w:szCs w:val="18"/>
                <w:lang w:eastAsia="en-AU"/>
              </w:rPr>
            </w:pPr>
            <w:r w:rsidRPr="008335C2">
              <w:rPr>
                <w:rFonts w:cs="Calibri"/>
                <w:b/>
                <w:sz w:val="18"/>
                <w:szCs w:val="18"/>
                <w:lang w:eastAsia="en-AU"/>
              </w:rPr>
              <w:t>-4</w:t>
            </w:r>
          </w:p>
        </w:tc>
        <w:tc>
          <w:tcPr>
            <w:tcW w:w="1223" w:type="dxa"/>
            <w:tcBorders>
              <w:top w:val="nil"/>
              <w:left w:val="nil"/>
              <w:bottom w:val="single" w:sz="4" w:space="0" w:color="auto"/>
              <w:right w:val="single" w:sz="4" w:space="0" w:color="auto"/>
            </w:tcBorders>
            <w:shd w:val="clear" w:color="auto" w:fill="auto"/>
            <w:vAlign w:val="center"/>
          </w:tcPr>
          <w:p w14:paraId="481911E3" w14:textId="77777777" w:rsidR="009210B8" w:rsidRPr="007E01FD" w:rsidRDefault="009210B8" w:rsidP="009210B8">
            <w:pPr>
              <w:spacing w:after="0" w:line="240" w:lineRule="auto"/>
              <w:jc w:val="right"/>
              <w:rPr>
                <w:rFonts w:cs="Calibri"/>
                <w:b/>
                <w:sz w:val="18"/>
                <w:szCs w:val="18"/>
                <w:lang w:eastAsia="en-AU"/>
              </w:rPr>
            </w:pPr>
            <w:r w:rsidRPr="008335C2">
              <w:rPr>
                <w:rFonts w:cs="Calibri"/>
                <w:b/>
                <w:sz w:val="18"/>
                <w:szCs w:val="18"/>
                <w:lang w:eastAsia="en-AU"/>
              </w:rPr>
              <w:t>-1%</w:t>
            </w:r>
          </w:p>
        </w:tc>
      </w:tr>
      <w:tr w:rsidR="009210B8" w:rsidRPr="007E01FD" w14:paraId="7BDC2142"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000000" w:fill="E7E6E6"/>
            <w:vAlign w:val="center"/>
          </w:tcPr>
          <w:p w14:paraId="3BD2E692"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Total</w:t>
            </w:r>
          </w:p>
        </w:tc>
        <w:tc>
          <w:tcPr>
            <w:tcW w:w="1073" w:type="dxa"/>
            <w:tcBorders>
              <w:top w:val="nil"/>
              <w:left w:val="nil"/>
              <w:bottom w:val="single" w:sz="4" w:space="0" w:color="auto"/>
              <w:right w:val="single" w:sz="4" w:space="0" w:color="auto"/>
            </w:tcBorders>
            <w:shd w:val="clear" w:color="000000" w:fill="E7E6E6"/>
            <w:vAlign w:val="center"/>
          </w:tcPr>
          <w:p w14:paraId="24E439D2"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4,942</w:t>
            </w:r>
          </w:p>
        </w:tc>
        <w:tc>
          <w:tcPr>
            <w:tcW w:w="1350" w:type="dxa"/>
            <w:tcBorders>
              <w:top w:val="nil"/>
              <w:left w:val="nil"/>
              <w:bottom w:val="single" w:sz="4" w:space="0" w:color="auto"/>
              <w:right w:val="single" w:sz="4" w:space="0" w:color="auto"/>
            </w:tcBorders>
            <w:shd w:val="clear" w:color="000000" w:fill="E7E6E6"/>
            <w:vAlign w:val="center"/>
          </w:tcPr>
          <w:p w14:paraId="628AEB67"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5,294</w:t>
            </w:r>
          </w:p>
        </w:tc>
        <w:tc>
          <w:tcPr>
            <w:tcW w:w="953" w:type="dxa"/>
            <w:tcBorders>
              <w:top w:val="nil"/>
              <w:left w:val="nil"/>
              <w:bottom w:val="single" w:sz="4" w:space="0" w:color="auto"/>
              <w:right w:val="single" w:sz="4" w:space="0" w:color="auto"/>
            </w:tcBorders>
            <w:shd w:val="clear" w:color="000000" w:fill="E7E6E6"/>
            <w:vAlign w:val="center"/>
          </w:tcPr>
          <w:p w14:paraId="0675BE84"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0.93</w:t>
            </w:r>
          </w:p>
        </w:tc>
        <w:tc>
          <w:tcPr>
            <w:tcW w:w="1109" w:type="dxa"/>
            <w:tcBorders>
              <w:top w:val="nil"/>
              <w:left w:val="nil"/>
              <w:bottom w:val="single" w:sz="4" w:space="0" w:color="auto"/>
              <w:right w:val="single" w:sz="4" w:space="0" w:color="auto"/>
            </w:tcBorders>
            <w:shd w:val="clear" w:color="000000" w:fill="E7E6E6"/>
            <w:vAlign w:val="center"/>
          </w:tcPr>
          <w:p w14:paraId="6E1A773C"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-352</w:t>
            </w:r>
          </w:p>
        </w:tc>
        <w:tc>
          <w:tcPr>
            <w:tcW w:w="1223" w:type="dxa"/>
            <w:tcBorders>
              <w:top w:val="nil"/>
              <w:left w:val="nil"/>
              <w:bottom w:val="single" w:sz="4" w:space="0" w:color="auto"/>
              <w:right w:val="single" w:sz="4" w:space="0" w:color="auto"/>
            </w:tcBorders>
            <w:shd w:val="clear" w:color="000000" w:fill="E7E6E6"/>
            <w:vAlign w:val="center"/>
          </w:tcPr>
          <w:p w14:paraId="085D3C3A" w14:textId="77777777" w:rsidR="009210B8" w:rsidRPr="007E01FD" w:rsidRDefault="009210B8" w:rsidP="009210B8">
            <w:pPr>
              <w:spacing w:after="0" w:line="240" w:lineRule="auto"/>
              <w:jc w:val="right"/>
              <w:rPr>
                <w:rFonts w:cs="Calibri"/>
                <w:b/>
                <w:sz w:val="18"/>
                <w:szCs w:val="18"/>
                <w:lang w:eastAsia="en-AU"/>
              </w:rPr>
            </w:pPr>
            <w:r>
              <w:rPr>
                <w:rFonts w:cs="Calibri"/>
                <w:b/>
                <w:sz w:val="18"/>
                <w:szCs w:val="18"/>
                <w:lang w:eastAsia="en-AU"/>
              </w:rPr>
              <w:t>-</w:t>
            </w:r>
            <w:r w:rsidRPr="007E01FD">
              <w:rPr>
                <w:rFonts w:cs="Calibri"/>
                <w:b/>
                <w:sz w:val="18"/>
                <w:szCs w:val="18"/>
                <w:lang w:eastAsia="en-AU"/>
              </w:rPr>
              <w:t>7%</w:t>
            </w:r>
          </w:p>
        </w:tc>
      </w:tr>
      <w:tr w:rsidR="009210B8" w:rsidRPr="0055027D" w14:paraId="39E5A540" w14:textId="77777777" w:rsidTr="009210B8">
        <w:trPr>
          <w:trHeight w:val="290"/>
        </w:trPr>
        <w:tc>
          <w:tcPr>
            <w:tcW w:w="7356" w:type="dxa"/>
            <w:gridSpan w:val="7"/>
            <w:tcBorders>
              <w:top w:val="single" w:sz="4" w:space="0" w:color="auto"/>
              <w:left w:val="single" w:sz="4" w:space="0" w:color="auto"/>
              <w:bottom w:val="single" w:sz="4" w:space="0" w:color="auto"/>
              <w:right w:val="single" w:sz="4" w:space="0" w:color="auto"/>
            </w:tcBorders>
            <w:shd w:val="clear" w:color="000000" w:fill="A6A6A6"/>
            <w:vAlign w:val="center"/>
            <w:hideMark/>
          </w:tcPr>
          <w:p w14:paraId="46F4D6EA"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 xml:space="preserve">Stomach cancer </w:t>
            </w:r>
          </w:p>
        </w:tc>
      </w:tr>
      <w:tr w:rsidR="009210B8" w:rsidRPr="0055027D" w14:paraId="137751A4"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3A0164B6"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NSW/ACT</w:t>
            </w:r>
          </w:p>
        </w:tc>
        <w:tc>
          <w:tcPr>
            <w:tcW w:w="1073" w:type="dxa"/>
            <w:tcBorders>
              <w:top w:val="nil"/>
              <w:left w:val="nil"/>
              <w:bottom w:val="single" w:sz="4" w:space="0" w:color="auto"/>
              <w:right w:val="single" w:sz="4" w:space="0" w:color="auto"/>
            </w:tcBorders>
            <w:shd w:val="clear" w:color="auto" w:fill="auto"/>
            <w:vAlign w:val="center"/>
            <w:hideMark/>
          </w:tcPr>
          <w:p w14:paraId="62817980"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462</w:t>
            </w:r>
          </w:p>
        </w:tc>
        <w:tc>
          <w:tcPr>
            <w:tcW w:w="1350" w:type="dxa"/>
            <w:tcBorders>
              <w:top w:val="nil"/>
              <w:left w:val="nil"/>
              <w:bottom w:val="single" w:sz="4" w:space="0" w:color="auto"/>
              <w:right w:val="single" w:sz="4" w:space="0" w:color="auto"/>
            </w:tcBorders>
            <w:shd w:val="clear" w:color="auto" w:fill="auto"/>
            <w:vAlign w:val="center"/>
            <w:hideMark/>
          </w:tcPr>
          <w:p w14:paraId="1C1F061C"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499</w:t>
            </w:r>
          </w:p>
        </w:tc>
        <w:tc>
          <w:tcPr>
            <w:tcW w:w="953" w:type="dxa"/>
            <w:tcBorders>
              <w:top w:val="nil"/>
              <w:left w:val="nil"/>
              <w:bottom w:val="single" w:sz="4" w:space="0" w:color="auto"/>
              <w:right w:val="single" w:sz="4" w:space="0" w:color="auto"/>
            </w:tcBorders>
            <w:shd w:val="clear" w:color="auto" w:fill="auto"/>
            <w:vAlign w:val="center"/>
            <w:hideMark/>
          </w:tcPr>
          <w:p w14:paraId="6D3A1525"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0.9</w:t>
            </w:r>
            <w:r>
              <w:rPr>
                <w:rFonts w:cs="Calibri"/>
                <w:sz w:val="18"/>
                <w:szCs w:val="18"/>
                <w:lang w:eastAsia="en-AU"/>
              </w:rPr>
              <w:t>3</w:t>
            </w:r>
          </w:p>
        </w:tc>
        <w:tc>
          <w:tcPr>
            <w:tcW w:w="1109" w:type="dxa"/>
            <w:tcBorders>
              <w:top w:val="nil"/>
              <w:left w:val="nil"/>
              <w:bottom w:val="single" w:sz="4" w:space="0" w:color="auto"/>
              <w:right w:val="single" w:sz="4" w:space="0" w:color="auto"/>
            </w:tcBorders>
            <w:shd w:val="clear" w:color="auto" w:fill="auto"/>
            <w:vAlign w:val="center"/>
            <w:hideMark/>
          </w:tcPr>
          <w:p w14:paraId="684A1663"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-37</w:t>
            </w:r>
          </w:p>
        </w:tc>
        <w:tc>
          <w:tcPr>
            <w:tcW w:w="1223" w:type="dxa"/>
            <w:tcBorders>
              <w:top w:val="nil"/>
              <w:left w:val="nil"/>
              <w:bottom w:val="single" w:sz="4" w:space="0" w:color="auto"/>
              <w:right w:val="single" w:sz="4" w:space="0" w:color="auto"/>
            </w:tcBorders>
            <w:shd w:val="clear" w:color="auto" w:fill="auto"/>
            <w:vAlign w:val="center"/>
            <w:hideMark/>
          </w:tcPr>
          <w:p w14:paraId="7D49CE2B"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7%</w:t>
            </w:r>
          </w:p>
        </w:tc>
      </w:tr>
      <w:tr w:rsidR="009210B8" w:rsidRPr="0055027D" w14:paraId="55922C19"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6383CA88"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VIC/TAS</w:t>
            </w:r>
          </w:p>
        </w:tc>
        <w:tc>
          <w:tcPr>
            <w:tcW w:w="1073" w:type="dxa"/>
            <w:tcBorders>
              <w:top w:val="nil"/>
              <w:left w:val="nil"/>
              <w:bottom w:val="single" w:sz="4" w:space="0" w:color="auto"/>
              <w:right w:val="single" w:sz="4" w:space="0" w:color="auto"/>
            </w:tcBorders>
            <w:shd w:val="clear" w:color="auto" w:fill="auto"/>
            <w:vAlign w:val="center"/>
            <w:hideMark/>
          </w:tcPr>
          <w:p w14:paraId="51FDA7F6"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227</w:t>
            </w:r>
          </w:p>
        </w:tc>
        <w:tc>
          <w:tcPr>
            <w:tcW w:w="1350" w:type="dxa"/>
            <w:tcBorders>
              <w:top w:val="nil"/>
              <w:left w:val="nil"/>
              <w:bottom w:val="single" w:sz="4" w:space="0" w:color="auto"/>
              <w:right w:val="single" w:sz="4" w:space="0" w:color="auto"/>
            </w:tcBorders>
            <w:shd w:val="clear" w:color="auto" w:fill="auto"/>
            <w:vAlign w:val="center"/>
            <w:hideMark/>
          </w:tcPr>
          <w:p w14:paraId="0B215912"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235</w:t>
            </w:r>
          </w:p>
        </w:tc>
        <w:tc>
          <w:tcPr>
            <w:tcW w:w="953" w:type="dxa"/>
            <w:tcBorders>
              <w:top w:val="nil"/>
              <w:left w:val="nil"/>
              <w:bottom w:val="single" w:sz="4" w:space="0" w:color="auto"/>
              <w:right w:val="single" w:sz="4" w:space="0" w:color="auto"/>
            </w:tcBorders>
            <w:shd w:val="clear" w:color="auto" w:fill="auto"/>
            <w:vAlign w:val="center"/>
            <w:hideMark/>
          </w:tcPr>
          <w:p w14:paraId="1962ACB5"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0.9</w:t>
            </w:r>
            <w:r>
              <w:rPr>
                <w:rFonts w:cs="Calibri"/>
                <w:sz w:val="18"/>
                <w:szCs w:val="18"/>
                <w:lang w:eastAsia="en-AU"/>
              </w:rPr>
              <w:t>7</w:t>
            </w:r>
          </w:p>
        </w:tc>
        <w:tc>
          <w:tcPr>
            <w:tcW w:w="1109" w:type="dxa"/>
            <w:tcBorders>
              <w:top w:val="nil"/>
              <w:left w:val="nil"/>
              <w:bottom w:val="single" w:sz="4" w:space="0" w:color="auto"/>
              <w:right w:val="single" w:sz="4" w:space="0" w:color="auto"/>
            </w:tcBorders>
            <w:shd w:val="clear" w:color="auto" w:fill="auto"/>
            <w:vAlign w:val="center"/>
            <w:hideMark/>
          </w:tcPr>
          <w:p w14:paraId="798852D3"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-8</w:t>
            </w:r>
          </w:p>
        </w:tc>
        <w:tc>
          <w:tcPr>
            <w:tcW w:w="1223" w:type="dxa"/>
            <w:tcBorders>
              <w:top w:val="nil"/>
              <w:left w:val="nil"/>
              <w:bottom w:val="single" w:sz="4" w:space="0" w:color="auto"/>
              <w:right w:val="single" w:sz="4" w:space="0" w:color="auto"/>
            </w:tcBorders>
            <w:shd w:val="clear" w:color="auto" w:fill="auto"/>
            <w:vAlign w:val="center"/>
            <w:hideMark/>
          </w:tcPr>
          <w:p w14:paraId="7DDE55E5" w14:textId="77777777" w:rsidR="009210B8" w:rsidRPr="007E01FD" w:rsidRDefault="009210B8" w:rsidP="009210B8">
            <w:pPr>
              <w:spacing w:after="0" w:line="240" w:lineRule="auto"/>
              <w:jc w:val="right"/>
              <w:rPr>
                <w:rFonts w:cs="Calibri"/>
                <w:sz w:val="18"/>
                <w:szCs w:val="18"/>
                <w:lang w:eastAsia="en-AU"/>
              </w:rPr>
            </w:pPr>
            <w:r>
              <w:rPr>
                <w:rFonts w:cs="Calibri"/>
                <w:sz w:val="18"/>
                <w:szCs w:val="18"/>
                <w:lang w:eastAsia="en-AU"/>
              </w:rPr>
              <w:t>-</w:t>
            </w:r>
            <w:r w:rsidRPr="007E01FD">
              <w:rPr>
                <w:rFonts w:cs="Calibri"/>
                <w:sz w:val="18"/>
                <w:szCs w:val="18"/>
                <w:lang w:eastAsia="en-AU"/>
              </w:rPr>
              <w:t>3%</w:t>
            </w:r>
          </w:p>
        </w:tc>
      </w:tr>
      <w:tr w:rsidR="009210B8" w:rsidRPr="0055027D" w14:paraId="35EB7D4E"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63B2A94D"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QLD</w:t>
            </w:r>
          </w:p>
        </w:tc>
        <w:tc>
          <w:tcPr>
            <w:tcW w:w="1073" w:type="dxa"/>
            <w:tcBorders>
              <w:top w:val="nil"/>
              <w:left w:val="nil"/>
              <w:bottom w:val="single" w:sz="4" w:space="0" w:color="auto"/>
              <w:right w:val="single" w:sz="4" w:space="0" w:color="auto"/>
            </w:tcBorders>
            <w:shd w:val="clear" w:color="auto" w:fill="auto"/>
            <w:vAlign w:val="center"/>
            <w:hideMark/>
          </w:tcPr>
          <w:p w14:paraId="5815D03A"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172</w:t>
            </w:r>
          </w:p>
        </w:tc>
        <w:tc>
          <w:tcPr>
            <w:tcW w:w="1350" w:type="dxa"/>
            <w:tcBorders>
              <w:top w:val="nil"/>
              <w:left w:val="nil"/>
              <w:bottom w:val="single" w:sz="4" w:space="0" w:color="auto"/>
              <w:right w:val="single" w:sz="4" w:space="0" w:color="auto"/>
            </w:tcBorders>
            <w:shd w:val="clear" w:color="auto" w:fill="auto"/>
            <w:vAlign w:val="center"/>
            <w:hideMark/>
          </w:tcPr>
          <w:p w14:paraId="57E2386E"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141</w:t>
            </w:r>
          </w:p>
        </w:tc>
        <w:tc>
          <w:tcPr>
            <w:tcW w:w="953" w:type="dxa"/>
            <w:tcBorders>
              <w:top w:val="nil"/>
              <w:left w:val="nil"/>
              <w:bottom w:val="single" w:sz="4" w:space="0" w:color="auto"/>
              <w:right w:val="single" w:sz="4" w:space="0" w:color="auto"/>
            </w:tcBorders>
            <w:shd w:val="clear" w:color="auto" w:fill="auto"/>
            <w:vAlign w:val="center"/>
            <w:hideMark/>
          </w:tcPr>
          <w:p w14:paraId="1C9BBB5D"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1.22</w:t>
            </w:r>
          </w:p>
        </w:tc>
        <w:tc>
          <w:tcPr>
            <w:tcW w:w="1109" w:type="dxa"/>
            <w:tcBorders>
              <w:top w:val="nil"/>
              <w:left w:val="nil"/>
              <w:bottom w:val="single" w:sz="4" w:space="0" w:color="auto"/>
              <w:right w:val="single" w:sz="4" w:space="0" w:color="auto"/>
            </w:tcBorders>
            <w:shd w:val="clear" w:color="auto" w:fill="auto"/>
            <w:vAlign w:val="center"/>
            <w:hideMark/>
          </w:tcPr>
          <w:p w14:paraId="1D6FABBD"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31</w:t>
            </w:r>
          </w:p>
        </w:tc>
        <w:tc>
          <w:tcPr>
            <w:tcW w:w="1223" w:type="dxa"/>
            <w:tcBorders>
              <w:top w:val="nil"/>
              <w:left w:val="nil"/>
              <w:bottom w:val="single" w:sz="4" w:space="0" w:color="auto"/>
              <w:right w:val="single" w:sz="4" w:space="0" w:color="auto"/>
            </w:tcBorders>
            <w:shd w:val="clear" w:color="auto" w:fill="auto"/>
            <w:vAlign w:val="center"/>
            <w:hideMark/>
          </w:tcPr>
          <w:p w14:paraId="601C3A0A"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22%</w:t>
            </w:r>
          </w:p>
        </w:tc>
      </w:tr>
      <w:tr w:rsidR="009210B8" w:rsidRPr="0055027D" w14:paraId="527D1908"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2632F3DA"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SA/NT</w:t>
            </w:r>
          </w:p>
        </w:tc>
        <w:tc>
          <w:tcPr>
            <w:tcW w:w="1073" w:type="dxa"/>
            <w:tcBorders>
              <w:top w:val="nil"/>
              <w:left w:val="nil"/>
              <w:bottom w:val="single" w:sz="4" w:space="0" w:color="auto"/>
              <w:right w:val="single" w:sz="4" w:space="0" w:color="auto"/>
            </w:tcBorders>
            <w:shd w:val="clear" w:color="auto" w:fill="auto"/>
            <w:vAlign w:val="center"/>
            <w:hideMark/>
          </w:tcPr>
          <w:p w14:paraId="0BC1B5DC"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43</w:t>
            </w:r>
          </w:p>
        </w:tc>
        <w:tc>
          <w:tcPr>
            <w:tcW w:w="1350" w:type="dxa"/>
            <w:tcBorders>
              <w:top w:val="nil"/>
              <w:left w:val="nil"/>
              <w:bottom w:val="single" w:sz="4" w:space="0" w:color="auto"/>
              <w:right w:val="single" w:sz="4" w:space="0" w:color="auto"/>
            </w:tcBorders>
            <w:shd w:val="clear" w:color="auto" w:fill="auto"/>
            <w:vAlign w:val="center"/>
            <w:hideMark/>
          </w:tcPr>
          <w:p w14:paraId="216A6D39"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35</w:t>
            </w:r>
          </w:p>
        </w:tc>
        <w:tc>
          <w:tcPr>
            <w:tcW w:w="953" w:type="dxa"/>
            <w:tcBorders>
              <w:top w:val="nil"/>
              <w:left w:val="nil"/>
              <w:bottom w:val="single" w:sz="4" w:space="0" w:color="auto"/>
              <w:right w:val="single" w:sz="4" w:space="0" w:color="auto"/>
            </w:tcBorders>
            <w:shd w:val="clear" w:color="auto" w:fill="auto"/>
            <w:vAlign w:val="center"/>
            <w:hideMark/>
          </w:tcPr>
          <w:p w14:paraId="0AECF54F"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1.2</w:t>
            </w:r>
            <w:r>
              <w:rPr>
                <w:rFonts w:cs="Calibri"/>
                <w:sz w:val="18"/>
                <w:szCs w:val="18"/>
                <w:lang w:eastAsia="en-AU"/>
              </w:rPr>
              <w:t>3</w:t>
            </w:r>
          </w:p>
        </w:tc>
        <w:tc>
          <w:tcPr>
            <w:tcW w:w="1109" w:type="dxa"/>
            <w:tcBorders>
              <w:top w:val="nil"/>
              <w:left w:val="nil"/>
              <w:bottom w:val="single" w:sz="4" w:space="0" w:color="auto"/>
              <w:right w:val="single" w:sz="4" w:space="0" w:color="auto"/>
            </w:tcBorders>
            <w:shd w:val="clear" w:color="auto" w:fill="auto"/>
            <w:vAlign w:val="center"/>
            <w:hideMark/>
          </w:tcPr>
          <w:p w14:paraId="3F8B83C2"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8</w:t>
            </w:r>
          </w:p>
        </w:tc>
        <w:tc>
          <w:tcPr>
            <w:tcW w:w="1223" w:type="dxa"/>
            <w:tcBorders>
              <w:top w:val="nil"/>
              <w:left w:val="nil"/>
              <w:bottom w:val="single" w:sz="4" w:space="0" w:color="auto"/>
              <w:right w:val="single" w:sz="4" w:space="0" w:color="auto"/>
            </w:tcBorders>
            <w:shd w:val="clear" w:color="auto" w:fill="auto"/>
            <w:vAlign w:val="center"/>
            <w:hideMark/>
          </w:tcPr>
          <w:p w14:paraId="664A7BD2"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23%</w:t>
            </w:r>
          </w:p>
        </w:tc>
      </w:tr>
      <w:tr w:rsidR="009210B8" w:rsidRPr="0055027D" w14:paraId="1392EE96"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24361768"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WA</w:t>
            </w:r>
          </w:p>
        </w:tc>
        <w:tc>
          <w:tcPr>
            <w:tcW w:w="1073" w:type="dxa"/>
            <w:tcBorders>
              <w:top w:val="nil"/>
              <w:left w:val="nil"/>
              <w:bottom w:val="single" w:sz="4" w:space="0" w:color="auto"/>
              <w:right w:val="single" w:sz="4" w:space="0" w:color="auto"/>
            </w:tcBorders>
            <w:shd w:val="clear" w:color="auto" w:fill="auto"/>
            <w:vAlign w:val="center"/>
            <w:hideMark/>
          </w:tcPr>
          <w:p w14:paraId="4A2CBFE8"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100</w:t>
            </w:r>
          </w:p>
        </w:tc>
        <w:tc>
          <w:tcPr>
            <w:tcW w:w="1350" w:type="dxa"/>
            <w:tcBorders>
              <w:top w:val="nil"/>
              <w:left w:val="nil"/>
              <w:bottom w:val="single" w:sz="4" w:space="0" w:color="auto"/>
              <w:right w:val="single" w:sz="4" w:space="0" w:color="auto"/>
            </w:tcBorders>
            <w:shd w:val="clear" w:color="auto" w:fill="auto"/>
            <w:vAlign w:val="center"/>
            <w:hideMark/>
          </w:tcPr>
          <w:p w14:paraId="31CAF9EE"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90</w:t>
            </w:r>
          </w:p>
        </w:tc>
        <w:tc>
          <w:tcPr>
            <w:tcW w:w="953" w:type="dxa"/>
            <w:tcBorders>
              <w:top w:val="nil"/>
              <w:left w:val="nil"/>
              <w:bottom w:val="single" w:sz="4" w:space="0" w:color="auto"/>
              <w:right w:val="single" w:sz="4" w:space="0" w:color="auto"/>
            </w:tcBorders>
            <w:shd w:val="clear" w:color="auto" w:fill="auto"/>
            <w:vAlign w:val="center"/>
            <w:hideMark/>
          </w:tcPr>
          <w:p w14:paraId="52E2E059"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1.11</w:t>
            </w:r>
          </w:p>
        </w:tc>
        <w:tc>
          <w:tcPr>
            <w:tcW w:w="1109" w:type="dxa"/>
            <w:tcBorders>
              <w:top w:val="nil"/>
              <w:left w:val="nil"/>
              <w:bottom w:val="single" w:sz="4" w:space="0" w:color="auto"/>
              <w:right w:val="single" w:sz="4" w:space="0" w:color="auto"/>
            </w:tcBorders>
            <w:shd w:val="clear" w:color="auto" w:fill="auto"/>
            <w:vAlign w:val="center"/>
            <w:hideMark/>
          </w:tcPr>
          <w:p w14:paraId="64C59BB5"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10</w:t>
            </w:r>
          </w:p>
        </w:tc>
        <w:tc>
          <w:tcPr>
            <w:tcW w:w="1223" w:type="dxa"/>
            <w:tcBorders>
              <w:top w:val="nil"/>
              <w:left w:val="nil"/>
              <w:bottom w:val="single" w:sz="4" w:space="0" w:color="auto"/>
              <w:right w:val="single" w:sz="4" w:space="0" w:color="auto"/>
            </w:tcBorders>
            <w:shd w:val="clear" w:color="auto" w:fill="auto"/>
            <w:vAlign w:val="center"/>
            <w:hideMark/>
          </w:tcPr>
          <w:p w14:paraId="0BF365BE" w14:textId="77777777" w:rsidR="009210B8" w:rsidRPr="007E01FD" w:rsidRDefault="009210B8" w:rsidP="009210B8">
            <w:pPr>
              <w:spacing w:after="0" w:line="240" w:lineRule="auto"/>
              <w:jc w:val="right"/>
              <w:rPr>
                <w:rFonts w:cs="Calibri"/>
                <w:sz w:val="18"/>
                <w:szCs w:val="18"/>
                <w:lang w:eastAsia="en-AU"/>
              </w:rPr>
            </w:pPr>
            <w:r w:rsidRPr="007E01FD">
              <w:rPr>
                <w:rFonts w:cs="Calibri"/>
                <w:sz w:val="18"/>
                <w:szCs w:val="18"/>
                <w:lang w:eastAsia="en-AU"/>
              </w:rPr>
              <w:t>11%</w:t>
            </w:r>
          </w:p>
        </w:tc>
      </w:tr>
      <w:tr w:rsidR="009210B8" w:rsidRPr="0055027D" w14:paraId="4F934543"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000000" w:fill="E7E6E6"/>
            <w:vAlign w:val="center"/>
            <w:hideMark/>
          </w:tcPr>
          <w:p w14:paraId="06D7ABB0"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Total</w:t>
            </w:r>
          </w:p>
        </w:tc>
        <w:tc>
          <w:tcPr>
            <w:tcW w:w="1073" w:type="dxa"/>
            <w:tcBorders>
              <w:top w:val="nil"/>
              <w:left w:val="nil"/>
              <w:bottom w:val="single" w:sz="4" w:space="0" w:color="auto"/>
              <w:right w:val="single" w:sz="4" w:space="0" w:color="auto"/>
            </w:tcBorders>
            <w:shd w:val="clear" w:color="000000" w:fill="E7E6E6"/>
            <w:vAlign w:val="center"/>
            <w:hideMark/>
          </w:tcPr>
          <w:p w14:paraId="1AE24573"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1,004</w:t>
            </w:r>
          </w:p>
        </w:tc>
        <w:tc>
          <w:tcPr>
            <w:tcW w:w="1350" w:type="dxa"/>
            <w:tcBorders>
              <w:top w:val="nil"/>
              <w:left w:val="nil"/>
              <w:bottom w:val="single" w:sz="4" w:space="0" w:color="auto"/>
              <w:right w:val="single" w:sz="4" w:space="0" w:color="auto"/>
            </w:tcBorders>
            <w:shd w:val="clear" w:color="000000" w:fill="E7E6E6"/>
            <w:vAlign w:val="center"/>
            <w:hideMark/>
          </w:tcPr>
          <w:p w14:paraId="758EFD54"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1,000</w:t>
            </w:r>
          </w:p>
        </w:tc>
        <w:tc>
          <w:tcPr>
            <w:tcW w:w="953" w:type="dxa"/>
            <w:tcBorders>
              <w:top w:val="nil"/>
              <w:left w:val="nil"/>
              <w:bottom w:val="single" w:sz="4" w:space="0" w:color="auto"/>
              <w:right w:val="single" w:sz="4" w:space="0" w:color="auto"/>
            </w:tcBorders>
            <w:shd w:val="clear" w:color="000000" w:fill="E7E6E6"/>
            <w:vAlign w:val="center"/>
            <w:hideMark/>
          </w:tcPr>
          <w:p w14:paraId="09997455"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1.0</w:t>
            </w:r>
            <w:r>
              <w:rPr>
                <w:rFonts w:cs="Calibri"/>
                <w:b/>
                <w:sz w:val="18"/>
                <w:szCs w:val="18"/>
                <w:lang w:eastAsia="en-AU"/>
              </w:rPr>
              <w:t>0</w:t>
            </w:r>
          </w:p>
        </w:tc>
        <w:tc>
          <w:tcPr>
            <w:tcW w:w="1109" w:type="dxa"/>
            <w:tcBorders>
              <w:top w:val="nil"/>
              <w:left w:val="nil"/>
              <w:bottom w:val="single" w:sz="4" w:space="0" w:color="auto"/>
              <w:right w:val="single" w:sz="4" w:space="0" w:color="auto"/>
            </w:tcBorders>
            <w:shd w:val="clear" w:color="000000" w:fill="E7E6E6"/>
            <w:vAlign w:val="center"/>
            <w:hideMark/>
          </w:tcPr>
          <w:p w14:paraId="5F109B3F"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4</w:t>
            </w:r>
          </w:p>
        </w:tc>
        <w:tc>
          <w:tcPr>
            <w:tcW w:w="1223" w:type="dxa"/>
            <w:tcBorders>
              <w:top w:val="nil"/>
              <w:left w:val="nil"/>
              <w:bottom w:val="single" w:sz="4" w:space="0" w:color="auto"/>
              <w:right w:val="single" w:sz="4" w:space="0" w:color="auto"/>
            </w:tcBorders>
            <w:shd w:val="clear" w:color="000000" w:fill="E7E6E6"/>
            <w:vAlign w:val="center"/>
            <w:hideMark/>
          </w:tcPr>
          <w:p w14:paraId="1B20ACD6"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0%</w:t>
            </w:r>
          </w:p>
        </w:tc>
      </w:tr>
      <w:tr w:rsidR="009210B8" w:rsidRPr="0055027D" w14:paraId="0B3B6FF1" w14:textId="77777777" w:rsidTr="009210B8">
        <w:trPr>
          <w:gridAfter w:val="1"/>
          <w:wAfter w:w="6" w:type="dxa"/>
          <w:trHeight w:val="290"/>
        </w:trPr>
        <w:tc>
          <w:tcPr>
            <w:tcW w:w="7350" w:type="dxa"/>
            <w:gridSpan w:val="6"/>
            <w:tcBorders>
              <w:top w:val="single" w:sz="4" w:space="0" w:color="auto"/>
              <w:left w:val="single" w:sz="4" w:space="0" w:color="auto"/>
              <w:bottom w:val="single" w:sz="4" w:space="0" w:color="auto"/>
              <w:right w:val="single" w:sz="4" w:space="0" w:color="auto"/>
            </w:tcBorders>
            <w:shd w:val="clear" w:color="auto" w:fill="A6A6A6"/>
            <w:vAlign w:val="center"/>
          </w:tcPr>
          <w:p w14:paraId="5FD50C08"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Gynaecological cancers</w:t>
            </w:r>
            <w:r w:rsidRPr="001738F1">
              <w:footnoteReference w:id="44"/>
            </w:r>
          </w:p>
        </w:tc>
      </w:tr>
      <w:tr w:rsidR="009210B8" w:rsidRPr="0055027D" w14:paraId="089490BA"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tcPr>
          <w:p w14:paraId="02422CA6"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NSW/ACT</w:t>
            </w:r>
          </w:p>
        </w:tc>
        <w:tc>
          <w:tcPr>
            <w:tcW w:w="1073" w:type="dxa"/>
            <w:tcBorders>
              <w:top w:val="nil"/>
              <w:left w:val="nil"/>
              <w:bottom w:val="single" w:sz="4" w:space="0" w:color="auto"/>
              <w:right w:val="single" w:sz="4" w:space="0" w:color="auto"/>
            </w:tcBorders>
            <w:shd w:val="clear" w:color="auto" w:fill="auto"/>
            <w:vAlign w:val="center"/>
          </w:tcPr>
          <w:p w14:paraId="3FB78358" w14:textId="77777777" w:rsidR="009210B8" w:rsidRPr="007E01FD" w:rsidRDefault="009210B8" w:rsidP="009210B8">
            <w:pPr>
              <w:spacing w:after="0" w:line="240" w:lineRule="auto"/>
              <w:jc w:val="right"/>
              <w:rPr>
                <w:rFonts w:cs="Calibri"/>
                <w:b/>
                <w:sz w:val="18"/>
                <w:szCs w:val="18"/>
                <w:lang w:eastAsia="en-AU"/>
              </w:rPr>
            </w:pPr>
            <w:r w:rsidRPr="007E01FD">
              <w:rPr>
                <w:rFonts w:cs="Calibri"/>
                <w:sz w:val="18"/>
                <w:szCs w:val="18"/>
                <w:lang w:eastAsia="en-AU"/>
              </w:rPr>
              <w:t>6,182</w:t>
            </w:r>
          </w:p>
        </w:tc>
        <w:tc>
          <w:tcPr>
            <w:tcW w:w="1350" w:type="dxa"/>
            <w:tcBorders>
              <w:top w:val="nil"/>
              <w:left w:val="nil"/>
              <w:bottom w:val="single" w:sz="4" w:space="0" w:color="auto"/>
              <w:right w:val="single" w:sz="4" w:space="0" w:color="auto"/>
            </w:tcBorders>
            <w:shd w:val="clear" w:color="auto" w:fill="auto"/>
            <w:vAlign w:val="center"/>
          </w:tcPr>
          <w:p w14:paraId="7E3692CC" w14:textId="77777777" w:rsidR="009210B8" w:rsidRPr="007E01FD" w:rsidRDefault="009210B8" w:rsidP="009210B8">
            <w:pPr>
              <w:spacing w:after="0" w:line="240" w:lineRule="auto"/>
              <w:jc w:val="right"/>
              <w:rPr>
                <w:rFonts w:cs="Calibri"/>
                <w:b/>
                <w:sz w:val="18"/>
                <w:szCs w:val="18"/>
                <w:lang w:eastAsia="en-AU"/>
              </w:rPr>
            </w:pPr>
            <w:r w:rsidRPr="007E01FD">
              <w:rPr>
                <w:rFonts w:cs="Calibri"/>
                <w:sz w:val="18"/>
                <w:szCs w:val="18"/>
                <w:lang w:eastAsia="en-AU"/>
              </w:rPr>
              <w:t>6,367</w:t>
            </w:r>
          </w:p>
        </w:tc>
        <w:tc>
          <w:tcPr>
            <w:tcW w:w="953" w:type="dxa"/>
            <w:tcBorders>
              <w:top w:val="nil"/>
              <w:left w:val="nil"/>
              <w:bottom w:val="single" w:sz="4" w:space="0" w:color="auto"/>
              <w:right w:val="single" w:sz="4" w:space="0" w:color="auto"/>
            </w:tcBorders>
            <w:shd w:val="clear" w:color="auto" w:fill="auto"/>
            <w:vAlign w:val="center"/>
          </w:tcPr>
          <w:p w14:paraId="0EAA8610" w14:textId="77777777" w:rsidR="009210B8" w:rsidRPr="007E01FD" w:rsidRDefault="009210B8" w:rsidP="009210B8">
            <w:pPr>
              <w:spacing w:after="0" w:line="240" w:lineRule="auto"/>
              <w:jc w:val="right"/>
              <w:rPr>
                <w:rFonts w:cs="Calibri"/>
                <w:b/>
                <w:sz w:val="18"/>
                <w:szCs w:val="18"/>
                <w:lang w:eastAsia="en-AU"/>
              </w:rPr>
            </w:pPr>
            <w:r w:rsidRPr="007E01FD">
              <w:rPr>
                <w:rFonts w:cs="Calibri"/>
                <w:sz w:val="18"/>
                <w:szCs w:val="18"/>
                <w:lang w:eastAsia="en-AU"/>
              </w:rPr>
              <w:t>0.97</w:t>
            </w:r>
          </w:p>
        </w:tc>
        <w:tc>
          <w:tcPr>
            <w:tcW w:w="1109" w:type="dxa"/>
            <w:tcBorders>
              <w:top w:val="nil"/>
              <w:left w:val="nil"/>
              <w:bottom w:val="single" w:sz="4" w:space="0" w:color="auto"/>
              <w:right w:val="single" w:sz="4" w:space="0" w:color="auto"/>
            </w:tcBorders>
            <w:shd w:val="clear" w:color="auto" w:fill="auto"/>
            <w:vAlign w:val="center"/>
          </w:tcPr>
          <w:p w14:paraId="3EE5C14B" w14:textId="77777777" w:rsidR="009210B8" w:rsidRPr="007E01FD" w:rsidRDefault="009210B8" w:rsidP="009210B8">
            <w:pPr>
              <w:spacing w:after="0" w:line="240" w:lineRule="auto"/>
              <w:jc w:val="right"/>
              <w:rPr>
                <w:rFonts w:cs="Calibri"/>
                <w:b/>
                <w:sz w:val="18"/>
                <w:szCs w:val="18"/>
                <w:lang w:eastAsia="en-AU"/>
              </w:rPr>
            </w:pPr>
            <w:r w:rsidRPr="007E01FD">
              <w:rPr>
                <w:rFonts w:cs="Calibri"/>
                <w:sz w:val="18"/>
                <w:szCs w:val="18"/>
                <w:lang w:eastAsia="en-AU"/>
              </w:rPr>
              <w:t>-185</w:t>
            </w:r>
          </w:p>
        </w:tc>
        <w:tc>
          <w:tcPr>
            <w:tcW w:w="1223" w:type="dxa"/>
            <w:tcBorders>
              <w:top w:val="nil"/>
              <w:left w:val="nil"/>
              <w:bottom w:val="single" w:sz="4" w:space="0" w:color="auto"/>
              <w:right w:val="single" w:sz="4" w:space="0" w:color="auto"/>
            </w:tcBorders>
            <w:shd w:val="clear" w:color="auto" w:fill="auto"/>
            <w:vAlign w:val="center"/>
          </w:tcPr>
          <w:p w14:paraId="0F353DE7" w14:textId="77777777" w:rsidR="009210B8" w:rsidRPr="007E01FD" w:rsidRDefault="009210B8" w:rsidP="009210B8">
            <w:pPr>
              <w:spacing w:after="0" w:line="240" w:lineRule="auto"/>
              <w:jc w:val="right"/>
              <w:rPr>
                <w:rFonts w:cs="Calibri"/>
                <w:b/>
                <w:sz w:val="18"/>
                <w:szCs w:val="18"/>
                <w:lang w:eastAsia="en-AU"/>
              </w:rPr>
            </w:pPr>
            <w:r>
              <w:rPr>
                <w:rFonts w:cs="Calibri"/>
                <w:sz w:val="18"/>
                <w:szCs w:val="18"/>
                <w:lang w:eastAsia="en-AU"/>
              </w:rPr>
              <w:t>-</w:t>
            </w:r>
            <w:r w:rsidRPr="007E01FD">
              <w:rPr>
                <w:rFonts w:cs="Calibri"/>
                <w:sz w:val="18"/>
                <w:szCs w:val="18"/>
                <w:lang w:eastAsia="en-AU"/>
              </w:rPr>
              <w:t>3%</w:t>
            </w:r>
          </w:p>
        </w:tc>
      </w:tr>
      <w:tr w:rsidR="009210B8" w:rsidRPr="0055027D" w14:paraId="0DE917AB"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tcPr>
          <w:p w14:paraId="4680DFD3"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VIC/TAS</w:t>
            </w:r>
          </w:p>
        </w:tc>
        <w:tc>
          <w:tcPr>
            <w:tcW w:w="1073" w:type="dxa"/>
            <w:tcBorders>
              <w:top w:val="nil"/>
              <w:left w:val="nil"/>
              <w:bottom w:val="single" w:sz="4" w:space="0" w:color="auto"/>
              <w:right w:val="single" w:sz="4" w:space="0" w:color="auto"/>
            </w:tcBorders>
            <w:shd w:val="clear" w:color="auto" w:fill="auto"/>
            <w:vAlign w:val="center"/>
          </w:tcPr>
          <w:p w14:paraId="59177A97" w14:textId="77777777" w:rsidR="009210B8" w:rsidRPr="007E01FD" w:rsidRDefault="009210B8" w:rsidP="009210B8">
            <w:pPr>
              <w:spacing w:after="0" w:line="240" w:lineRule="auto"/>
              <w:jc w:val="right"/>
              <w:rPr>
                <w:rFonts w:cs="Calibri"/>
                <w:b/>
                <w:sz w:val="18"/>
                <w:szCs w:val="18"/>
                <w:lang w:eastAsia="en-AU"/>
              </w:rPr>
            </w:pPr>
            <w:r w:rsidRPr="007E01FD">
              <w:rPr>
                <w:rFonts w:cs="Calibri"/>
                <w:sz w:val="18"/>
                <w:szCs w:val="18"/>
                <w:lang w:eastAsia="en-AU"/>
              </w:rPr>
              <w:t>3,515</w:t>
            </w:r>
          </w:p>
        </w:tc>
        <w:tc>
          <w:tcPr>
            <w:tcW w:w="1350" w:type="dxa"/>
            <w:tcBorders>
              <w:top w:val="nil"/>
              <w:left w:val="nil"/>
              <w:bottom w:val="single" w:sz="4" w:space="0" w:color="auto"/>
              <w:right w:val="single" w:sz="4" w:space="0" w:color="auto"/>
            </w:tcBorders>
            <w:shd w:val="clear" w:color="auto" w:fill="auto"/>
            <w:vAlign w:val="center"/>
          </w:tcPr>
          <w:p w14:paraId="74C6E3FF" w14:textId="77777777" w:rsidR="009210B8" w:rsidRPr="007E01FD" w:rsidRDefault="009210B8" w:rsidP="009210B8">
            <w:pPr>
              <w:spacing w:after="0" w:line="240" w:lineRule="auto"/>
              <w:jc w:val="right"/>
              <w:rPr>
                <w:rFonts w:cs="Calibri"/>
                <w:b/>
                <w:sz w:val="18"/>
                <w:szCs w:val="18"/>
                <w:lang w:eastAsia="en-AU"/>
              </w:rPr>
            </w:pPr>
            <w:r w:rsidRPr="007E01FD">
              <w:rPr>
                <w:rFonts w:cs="Calibri"/>
                <w:sz w:val="18"/>
                <w:szCs w:val="18"/>
                <w:lang w:eastAsia="en-AU"/>
              </w:rPr>
              <w:t>4,040</w:t>
            </w:r>
          </w:p>
        </w:tc>
        <w:tc>
          <w:tcPr>
            <w:tcW w:w="953" w:type="dxa"/>
            <w:tcBorders>
              <w:top w:val="nil"/>
              <w:left w:val="nil"/>
              <w:bottom w:val="single" w:sz="4" w:space="0" w:color="auto"/>
              <w:right w:val="single" w:sz="4" w:space="0" w:color="auto"/>
            </w:tcBorders>
            <w:shd w:val="clear" w:color="auto" w:fill="auto"/>
            <w:vAlign w:val="center"/>
          </w:tcPr>
          <w:p w14:paraId="0D25921E" w14:textId="77777777" w:rsidR="009210B8" w:rsidRPr="007E01FD" w:rsidRDefault="009210B8" w:rsidP="009210B8">
            <w:pPr>
              <w:spacing w:after="0" w:line="240" w:lineRule="auto"/>
              <w:jc w:val="right"/>
              <w:rPr>
                <w:rFonts w:cs="Calibri"/>
                <w:b/>
                <w:sz w:val="18"/>
                <w:szCs w:val="18"/>
                <w:lang w:eastAsia="en-AU"/>
              </w:rPr>
            </w:pPr>
            <w:r w:rsidRPr="007E01FD">
              <w:rPr>
                <w:rFonts w:cs="Calibri"/>
                <w:sz w:val="18"/>
                <w:szCs w:val="18"/>
                <w:lang w:eastAsia="en-AU"/>
              </w:rPr>
              <w:t>0.87</w:t>
            </w:r>
          </w:p>
        </w:tc>
        <w:tc>
          <w:tcPr>
            <w:tcW w:w="1109" w:type="dxa"/>
            <w:tcBorders>
              <w:top w:val="nil"/>
              <w:left w:val="nil"/>
              <w:bottom w:val="single" w:sz="4" w:space="0" w:color="auto"/>
              <w:right w:val="single" w:sz="4" w:space="0" w:color="auto"/>
            </w:tcBorders>
            <w:shd w:val="clear" w:color="auto" w:fill="auto"/>
            <w:vAlign w:val="center"/>
          </w:tcPr>
          <w:p w14:paraId="756352B3" w14:textId="77777777" w:rsidR="009210B8" w:rsidRPr="007E01FD" w:rsidRDefault="009210B8" w:rsidP="009210B8">
            <w:pPr>
              <w:spacing w:after="0" w:line="240" w:lineRule="auto"/>
              <w:jc w:val="right"/>
              <w:rPr>
                <w:rFonts w:cs="Calibri"/>
                <w:b/>
                <w:sz w:val="18"/>
                <w:szCs w:val="18"/>
                <w:lang w:eastAsia="en-AU"/>
              </w:rPr>
            </w:pPr>
            <w:r w:rsidRPr="007E01FD">
              <w:rPr>
                <w:rFonts w:cs="Calibri"/>
                <w:sz w:val="18"/>
                <w:szCs w:val="18"/>
                <w:lang w:eastAsia="en-AU"/>
              </w:rPr>
              <w:t>-525</w:t>
            </w:r>
          </w:p>
        </w:tc>
        <w:tc>
          <w:tcPr>
            <w:tcW w:w="1223" w:type="dxa"/>
            <w:tcBorders>
              <w:top w:val="nil"/>
              <w:left w:val="nil"/>
              <w:bottom w:val="single" w:sz="4" w:space="0" w:color="auto"/>
              <w:right w:val="single" w:sz="4" w:space="0" w:color="auto"/>
            </w:tcBorders>
            <w:shd w:val="clear" w:color="auto" w:fill="auto"/>
            <w:vAlign w:val="center"/>
          </w:tcPr>
          <w:p w14:paraId="7E689A01" w14:textId="77777777" w:rsidR="009210B8" w:rsidRPr="007E01FD" w:rsidRDefault="009210B8" w:rsidP="009210B8">
            <w:pPr>
              <w:spacing w:after="0" w:line="240" w:lineRule="auto"/>
              <w:jc w:val="right"/>
              <w:rPr>
                <w:rFonts w:cs="Calibri"/>
                <w:b/>
                <w:sz w:val="18"/>
                <w:szCs w:val="18"/>
                <w:lang w:eastAsia="en-AU"/>
              </w:rPr>
            </w:pPr>
            <w:r>
              <w:rPr>
                <w:rFonts w:cs="Calibri"/>
                <w:sz w:val="18"/>
                <w:szCs w:val="18"/>
                <w:lang w:eastAsia="en-AU"/>
              </w:rPr>
              <w:t>-</w:t>
            </w:r>
            <w:r w:rsidRPr="007E01FD">
              <w:rPr>
                <w:rFonts w:cs="Calibri"/>
                <w:sz w:val="18"/>
                <w:szCs w:val="18"/>
                <w:lang w:eastAsia="en-AU"/>
              </w:rPr>
              <w:t>13%</w:t>
            </w:r>
          </w:p>
        </w:tc>
      </w:tr>
      <w:tr w:rsidR="009210B8" w:rsidRPr="0055027D" w14:paraId="647F753F"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tcPr>
          <w:p w14:paraId="423DC5FA"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QLD</w:t>
            </w:r>
          </w:p>
        </w:tc>
        <w:tc>
          <w:tcPr>
            <w:tcW w:w="1073" w:type="dxa"/>
            <w:tcBorders>
              <w:top w:val="nil"/>
              <w:left w:val="nil"/>
              <w:bottom w:val="single" w:sz="4" w:space="0" w:color="auto"/>
              <w:right w:val="single" w:sz="4" w:space="0" w:color="auto"/>
            </w:tcBorders>
            <w:shd w:val="clear" w:color="auto" w:fill="auto"/>
            <w:vAlign w:val="center"/>
          </w:tcPr>
          <w:p w14:paraId="56E0CCE7" w14:textId="77777777" w:rsidR="009210B8" w:rsidRPr="007E01FD" w:rsidRDefault="009210B8" w:rsidP="009210B8">
            <w:pPr>
              <w:spacing w:after="0" w:line="240" w:lineRule="auto"/>
              <w:jc w:val="right"/>
              <w:rPr>
                <w:rFonts w:cs="Calibri"/>
                <w:b/>
                <w:sz w:val="18"/>
                <w:szCs w:val="18"/>
                <w:lang w:eastAsia="en-AU"/>
              </w:rPr>
            </w:pPr>
            <w:r w:rsidRPr="007E01FD">
              <w:rPr>
                <w:rFonts w:cs="Calibri"/>
                <w:sz w:val="18"/>
                <w:szCs w:val="18"/>
                <w:lang w:eastAsia="en-AU"/>
              </w:rPr>
              <w:t>3,375</w:t>
            </w:r>
          </w:p>
        </w:tc>
        <w:tc>
          <w:tcPr>
            <w:tcW w:w="1350" w:type="dxa"/>
            <w:tcBorders>
              <w:top w:val="nil"/>
              <w:left w:val="nil"/>
              <w:bottom w:val="single" w:sz="4" w:space="0" w:color="auto"/>
              <w:right w:val="single" w:sz="4" w:space="0" w:color="auto"/>
            </w:tcBorders>
            <w:shd w:val="clear" w:color="auto" w:fill="auto"/>
            <w:vAlign w:val="center"/>
          </w:tcPr>
          <w:p w14:paraId="0921A5E5" w14:textId="77777777" w:rsidR="009210B8" w:rsidRPr="007E01FD" w:rsidRDefault="009210B8" w:rsidP="009210B8">
            <w:pPr>
              <w:spacing w:after="0" w:line="240" w:lineRule="auto"/>
              <w:jc w:val="right"/>
              <w:rPr>
                <w:rFonts w:cs="Calibri"/>
                <w:b/>
                <w:sz w:val="18"/>
                <w:szCs w:val="18"/>
                <w:lang w:eastAsia="en-AU"/>
              </w:rPr>
            </w:pPr>
            <w:r w:rsidRPr="007E01FD">
              <w:rPr>
                <w:rFonts w:cs="Calibri"/>
                <w:sz w:val="18"/>
                <w:szCs w:val="18"/>
                <w:lang w:eastAsia="en-AU"/>
              </w:rPr>
              <w:t>3,805</w:t>
            </w:r>
          </w:p>
        </w:tc>
        <w:tc>
          <w:tcPr>
            <w:tcW w:w="953" w:type="dxa"/>
            <w:tcBorders>
              <w:top w:val="nil"/>
              <w:left w:val="nil"/>
              <w:bottom w:val="single" w:sz="4" w:space="0" w:color="auto"/>
              <w:right w:val="single" w:sz="4" w:space="0" w:color="auto"/>
            </w:tcBorders>
            <w:shd w:val="clear" w:color="auto" w:fill="auto"/>
            <w:vAlign w:val="center"/>
          </w:tcPr>
          <w:p w14:paraId="6AE5EBD9" w14:textId="77777777" w:rsidR="009210B8" w:rsidRPr="007E01FD" w:rsidRDefault="009210B8" w:rsidP="009210B8">
            <w:pPr>
              <w:spacing w:after="0" w:line="240" w:lineRule="auto"/>
              <w:jc w:val="right"/>
              <w:rPr>
                <w:rFonts w:cs="Calibri"/>
                <w:b/>
                <w:sz w:val="18"/>
                <w:szCs w:val="18"/>
                <w:lang w:eastAsia="en-AU"/>
              </w:rPr>
            </w:pPr>
            <w:r w:rsidRPr="007E01FD">
              <w:rPr>
                <w:rFonts w:cs="Calibri"/>
                <w:sz w:val="18"/>
                <w:szCs w:val="18"/>
                <w:lang w:eastAsia="en-AU"/>
              </w:rPr>
              <w:t>0.8</w:t>
            </w:r>
            <w:r>
              <w:rPr>
                <w:rFonts w:cs="Calibri"/>
                <w:sz w:val="18"/>
                <w:szCs w:val="18"/>
                <w:lang w:eastAsia="en-AU"/>
              </w:rPr>
              <w:t>9</w:t>
            </w:r>
          </w:p>
        </w:tc>
        <w:tc>
          <w:tcPr>
            <w:tcW w:w="1109" w:type="dxa"/>
            <w:tcBorders>
              <w:top w:val="nil"/>
              <w:left w:val="nil"/>
              <w:bottom w:val="single" w:sz="4" w:space="0" w:color="auto"/>
              <w:right w:val="single" w:sz="4" w:space="0" w:color="auto"/>
            </w:tcBorders>
            <w:shd w:val="clear" w:color="auto" w:fill="auto"/>
            <w:vAlign w:val="center"/>
          </w:tcPr>
          <w:p w14:paraId="1195E3BD" w14:textId="77777777" w:rsidR="009210B8" w:rsidRPr="007E01FD" w:rsidRDefault="009210B8" w:rsidP="009210B8">
            <w:pPr>
              <w:spacing w:after="0" w:line="240" w:lineRule="auto"/>
              <w:jc w:val="right"/>
              <w:rPr>
                <w:rFonts w:cs="Calibri"/>
                <w:b/>
                <w:sz w:val="18"/>
                <w:szCs w:val="18"/>
                <w:lang w:eastAsia="en-AU"/>
              </w:rPr>
            </w:pPr>
            <w:r w:rsidRPr="007E01FD">
              <w:rPr>
                <w:rFonts w:cs="Calibri"/>
                <w:sz w:val="18"/>
                <w:szCs w:val="18"/>
                <w:lang w:eastAsia="en-AU"/>
              </w:rPr>
              <w:t>-430</w:t>
            </w:r>
          </w:p>
        </w:tc>
        <w:tc>
          <w:tcPr>
            <w:tcW w:w="1223" w:type="dxa"/>
            <w:tcBorders>
              <w:top w:val="nil"/>
              <w:left w:val="nil"/>
              <w:bottom w:val="single" w:sz="4" w:space="0" w:color="auto"/>
              <w:right w:val="single" w:sz="4" w:space="0" w:color="auto"/>
            </w:tcBorders>
            <w:shd w:val="clear" w:color="auto" w:fill="auto"/>
            <w:vAlign w:val="center"/>
          </w:tcPr>
          <w:p w14:paraId="3E4E7F89" w14:textId="77777777" w:rsidR="009210B8" w:rsidRPr="007E01FD" w:rsidRDefault="009210B8" w:rsidP="009210B8">
            <w:pPr>
              <w:spacing w:after="0" w:line="240" w:lineRule="auto"/>
              <w:jc w:val="right"/>
              <w:rPr>
                <w:rFonts w:cs="Calibri"/>
                <w:b/>
                <w:sz w:val="18"/>
                <w:szCs w:val="18"/>
                <w:lang w:eastAsia="en-AU"/>
              </w:rPr>
            </w:pPr>
            <w:r>
              <w:rPr>
                <w:rFonts w:cs="Calibri"/>
                <w:sz w:val="18"/>
                <w:szCs w:val="18"/>
                <w:lang w:eastAsia="en-AU"/>
              </w:rPr>
              <w:t>-</w:t>
            </w:r>
            <w:r w:rsidRPr="007E01FD">
              <w:rPr>
                <w:rFonts w:cs="Calibri"/>
                <w:sz w:val="18"/>
                <w:szCs w:val="18"/>
                <w:lang w:eastAsia="en-AU"/>
              </w:rPr>
              <w:t>11%</w:t>
            </w:r>
          </w:p>
        </w:tc>
      </w:tr>
      <w:tr w:rsidR="009210B8" w:rsidRPr="0055027D" w14:paraId="20C4B8F8"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tcPr>
          <w:p w14:paraId="08C1E0DC"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lastRenderedPageBreak/>
              <w:t>SA/NT</w:t>
            </w:r>
          </w:p>
        </w:tc>
        <w:tc>
          <w:tcPr>
            <w:tcW w:w="1073" w:type="dxa"/>
            <w:tcBorders>
              <w:top w:val="nil"/>
              <w:left w:val="nil"/>
              <w:bottom w:val="single" w:sz="4" w:space="0" w:color="auto"/>
              <w:right w:val="single" w:sz="4" w:space="0" w:color="auto"/>
            </w:tcBorders>
            <w:shd w:val="clear" w:color="auto" w:fill="auto"/>
            <w:vAlign w:val="center"/>
          </w:tcPr>
          <w:p w14:paraId="10DC0BC7" w14:textId="77777777" w:rsidR="009210B8" w:rsidRPr="007E01FD" w:rsidRDefault="009210B8" w:rsidP="009210B8">
            <w:pPr>
              <w:spacing w:after="0" w:line="240" w:lineRule="auto"/>
              <w:jc w:val="right"/>
              <w:rPr>
                <w:rFonts w:cs="Calibri"/>
                <w:b/>
                <w:sz w:val="18"/>
                <w:szCs w:val="18"/>
                <w:lang w:eastAsia="en-AU"/>
              </w:rPr>
            </w:pPr>
            <w:r w:rsidRPr="007E01FD">
              <w:rPr>
                <w:rFonts w:cs="Calibri"/>
                <w:sz w:val="18"/>
                <w:szCs w:val="18"/>
                <w:lang w:eastAsia="en-AU"/>
              </w:rPr>
              <w:t>1,654</w:t>
            </w:r>
          </w:p>
        </w:tc>
        <w:tc>
          <w:tcPr>
            <w:tcW w:w="1350" w:type="dxa"/>
            <w:tcBorders>
              <w:top w:val="nil"/>
              <w:left w:val="nil"/>
              <w:bottom w:val="single" w:sz="4" w:space="0" w:color="auto"/>
              <w:right w:val="single" w:sz="4" w:space="0" w:color="auto"/>
            </w:tcBorders>
            <w:shd w:val="clear" w:color="auto" w:fill="auto"/>
            <w:vAlign w:val="center"/>
          </w:tcPr>
          <w:p w14:paraId="64BC7914" w14:textId="77777777" w:rsidR="009210B8" w:rsidRPr="007E01FD" w:rsidRDefault="009210B8" w:rsidP="009210B8">
            <w:pPr>
              <w:spacing w:after="0" w:line="240" w:lineRule="auto"/>
              <w:jc w:val="right"/>
              <w:rPr>
                <w:rFonts w:cs="Calibri"/>
                <w:b/>
                <w:sz w:val="18"/>
                <w:szCs w:val="18"/>
                <w:lang w:eastAsia="en-AU"/>
              </w:rPr>
            </w:pPr>
            <w:r w:rsidRPr="007E01FD">
              <w:rPr>
                <w:rFonts w:cs="Calibri"/>
                <w:sz w:val="18"/>
                <w:szCs w:val="18"/>
                <w:lang w:eastAsia="en-AU"/>
              </w:rPr>
              <w:t>1,829</w:t>
            </w:r>
          </w:p>
        </w:tc>
        <w:tc>
          <w:tcPr>
            <w:tcW w:w="953" w:type="dxa"/>
            <w:tcBorders>
              <w:top w:val="nil"/>
              <w:left w:val="nil"/>
              <w:bottom w:val="single" w:sz="4" w:space="0" w:color="auto"/>
              <w:right w:val="single" w:sz="4" w:space="0" w:color="auto"/>
            </w:tcBorders>
            <w:shd w:val="clear" w:color="auto" w:fill="auto"/>
            <w:vAlign w:val="center"/>
          </w:tcPr>
          <w:p w14:paraId="2D7DDF6A" w14:textId="77777777" w:rsidR="009210B8" w:rsidRPr="007E01FD" w:rsidRDefault="009210B8" w:rsidP="009210B8">
            <w:pPr>
              <w:spacing w:after="0" w:line="240" w:lineRule="auto"/>
              <w:jc w:val="right"/>
              <w:rPr>
                <w:rFonts w:cs="Calibri"/>
                <w:b/>
                <w:sz w:val="18"/>
                <w:szCs w:val="18"/>
                <w:lang w:eastAsia="en-AU"/>
              </w:rPr>
            </w:pPr>
            <w:r w:rsidRPr="007E01FD">
              <w:rPr>
                <w:rFonts w:cs="Calibri"/>
                <w:sz w:val="18"/>
                <w:szCs w:val="18"/>
                <w:lang w:eastAsia="en-AU"/>
              </w:rPr>
              <w:t>0.90</w:t>
            </w:r>
          </w:p>
        </w:tc>
        <w:tc>
          <w:tcPr>
            <w:tcW w:w="1109" w:type="dxa"/>
            <w:tcBorders>
              <w:top w:val="nil"/>
              <w:left w:val="nil"/>
              <w:bottom w:val="single" w:sz="4" w:space="0" w:color="auto"/>
              <w:right w:val="single" w:sz="4" w:space="0" w:color="auto"/>
            </w:tcBorders>
            <w:shd w:val="clear" w:color="auto" w:fill="auto"/>
            <w:vAlign w:val="center"/>
          </w:tcPr>
          <w:p w14:paraId="50F0B59B" w14:textId="77777777" w:rsidR="009210B8" w:rsidRPr="007E01FD" w:rsidRDefault="009210B8" w:rsidP="009210B8">
            <w:pPr>
              <w:spacing w:after="0" w:line="240" w:lineRule="auto"/>
              <w:jc w:val="right"/>
              <w:rPr>
                <w:rFonts w:cs="Calibri"/>
                <w:b/>
                <w:sz w:val="18"/>
                <w:szCs w:val="18"/>
                <w:lang w:eastAsia="en-AU"/>
              </w:rPr>
            </w:pPr>
            <w:r w:rsidRPr="007E01FD">
              <w:rPr>
                <w:rFonts w:cs="Calibri"/>
                <w:sz w:val="18"/>
                <w:szCs w:val="18"/>
                <w:lang w:eastAsia="en-AU"/>
              </w:rPr>
              <w:t>-175</w:t>
            </w:r>
          </w:p>
        </w:tc>
        <w:tc>
          <w:tcPr>
            <w:tcW w:w="1223" w:type="dxa"/>
            <w:tcBorders>
              <w:top w:val="nil"/>
              <w:left w:val="nil"/>
              <w:bottom w:val="single" w:sz="4" w:space="0" w:color="auto"/>
              <w:right w:val="single" w:sz="4" w:space="0" w:color="auto"/>
            </w:tcBorders>
            <w:shd w:val="clear" w:color="auto" w:fill="auto"/>
            <w:vAlign w:val="center"/>
          </w:tcPr>
          <w:p w14:paraId="3D73DBD1" w14:textId="77777777" w:rsidR="009210B8" w:rsidRPr="007E01FD" w:rsidRDefault="009210B8" w:rsidP="009210B8">
            <w:pPr>
              <w:spacing w:after="0" w:line="240" w:lineRule="auto"/>
              <w:jc w:val="right"/>
              <w:rPr>
                <w:rFonts w:cs="Calibri"/>
                <w:b/>
                <w:sz w:val="18"/>
                <w:szCs w:val="18"/>
                <w:lang w:eastAsia="en-AU"/>
              </w:rPr>
            </w:pPr>
            <w:r>
              <w:rPr>
                <w:rFonts w:cs="Calibri"/>
                <w:sz w:val="18"/>
                <w:szCs w:val="18"/>
                <w:lang w:eastAsia="en-AU"/>
              </w:rPr>
              <w:t>-</w:t>
            </w:r>
            <w:r w:rsidRPr="007E01FD">
              <w:rPr>
                <w:rFonts w:cs="Calibri"/>
                <w:sz w:val="18"/>
                <w:szCs w:val="18"/>
                <w:lang w:eastAsia="en-AU"/>
              </w:rPr>
              <w:t>10%</w:t>
            </w:r>
          </w:p>
        </w:tc>
      </w:tr>
      <w:tr w:rsidR="009210B8" w:rsidRPr="0055027D" w14:paraId="6A842F38"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auto" w:fill="auto"/>
            <w:vAlign w:val="center"/>
          </w:tcPr>
          <w:p w14:paraId="35F8C5FB"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WA</w:t>
            </w:r>
          </w:p>
        </w:tc>
        <w:tc>
          <w:tcPr>
            <w:tcW w:w="1073" w:type="dxa"/>
            <w:tcBorders>
              <w:top w:val="nil"/>
              <w:left w:val="nil"/>
              <w:bottom w:val="single" w:sz="4" w:space="0" w:color="auto"/>
              <w:right w:val="single" w:sz="4" w:space="0" w:color="auto"/>
            </w:tcBorders>
            <w:shd w:val="clear" w:color="auto" w:fill="auto"/>
            <w:vAlign w:val="center"/>
          </w:tcPr>
          <w:p w14:paraId="23CFF764" w14:textId="77777777" w:rsidR="009210B8" w:rsidRPr="007E01FD" w:rsidRDefault="009210B8" w:rsidP="009210B8">
            <w:pPr>
              <w:spacing w:after="0" w:line="240" w:lineRule="auto"/>
              <w:jc w:val="right"/>
              <w:rPr>
                <w:rFonts w:cs="Calibri"/>
                <w:b/>
                <w:sz w:val="18"/>
                <w:szCs w:val="18"/>
                <w:lang w:eastAsia="en-AU"/>
              </w:rPr>
            </w:pPr>
            <w:r w:rsidRPr="007E01FD">
              <w:rPr>
                <w:rFonts w:cs="Calibri"/>
                <w:sz w:val="18"/>
                <w:szCs w:val="18"/>
                <w:lang w:eastAsia="en-AU"/>
              </w:rPr>
              <w:t>1,849</w:t>
            </w:r>
          </w:p>
        </w:tc>
        <w:tc>
          <w:tcPr>
            <w:tcW w:w="1350" w:type="dxa"/>
            <w:tcBorders>
              <w:top w:val="nil"/>
              <w:left w:val="nil"/>
              <w:bottom w:val="single" w:sz="4" w:space="0" w:color="auto"/>
              <w:right w:val="single" w:sz="4" w:space="0" w:color="auto"/>
            </w:tcBorders>
            <w:shd w:val="clear" w:color="auto" w:fill="auto"/>
            <w:vAlign w:val="center"/>
          </w:tcPr>
          <w:p w14:paraId="7C527C8F" w14:textId="77777777" w:rsidR="009210B8" w:rsidRPr="007E01FD" w:rsidRDefault="009210B8" w:rsidP="009210B8">
            <w:pPr>
              <w:spacing w:after="0" w:line="240" w:lineRule="auto"/>
              <w:jc w:val="right"/>
              <w:rPr>
                <w:rFonts w:cs="Calibri"/>
                <w:b/>
                <w:sz w:val="18"/>
                <w:szCs w:val="18"/>
                <w:lang w:eastAsia="en-AU"/>
              </w:rPr>
            </w:pPr>
            <w:r w:rsidRPr="007E01FD">
              <w:rPr>
                <w:rFonts w:cs="Calibri"/>
                <w:sz w:val="18"/>
                <w:szCs w:val="18"/>
                <w:lang w:eastAsia="en-AU"/>
              </w:rPr>
              <w:t>1,906</w:t>
            </w:r>
          </w:p>
        </w:tc>
        <w:tc>
          <w:tcPr>
            <w:tcW w:w="953" w:type="dxa"/>
            <w:tcBorders>
              <w:top w:val="nil"/>
              <w:left w:val="nil"/>
              <w:bottom w:val="single" w:sz="4" w:space="0" w:color="auto"/>
              <w:right w:val="single" w:sz="4" w:space="0" w:color="auto"/>
            </w:tcBorders>
            <w:shd w:val="clear" w:color="auto" w:fill="auto"/>
            <w:vAlign w:val="center"/>
          </w:tcPr>
          <w:p w14:paraId="038173DD" w14:textId="77777777" w:rsidR="009210B8" w:rsidRPr="007E01FD" w:rsidRDefault="009210B8" w:rsidP="009210B8">
            <w:pPr>
              <w:spacing w:after="0" w:line="240" w:lineRule="auto"/>
              <w:jc w:val="right"/>
              <w:rPr>
                <w:rFonts w:cs="Calibri"/>
                <w:b/>
                <w:sz w:val="18"/>
                <w:szCs w:val="18"/>
                <w:lang w:eastAsia="en-AU"/>
              </w:rPr>
            </w:pPr>
            <w:r w:rsidRPr="007E01FD">
              <w:rPr>
                <w:rFonts w:cs="Calibri"/>
                <w:sz w:val="18"/>
                <w:szCs w:val="18"/>
                <w:lang w:eastAsia="en-AU"/>
              </w:rPr>
              <w:t>0.97</w:t>
            </w:r>
          </w:p>
        </w:tc>
        <w:tc>
          <w:tcPr>
            <w:tcW w:w="1109" w:type="dxa"/>
            <w:tcBorders>
              <w:top w:val="nil"/>
              <w:left w:val="nil"/>
              <w:bottom w:val="single" w:sz="4" w:space="0" w:color="auto"/>
              <w:right w:val="single" w:sz="4" w:space="0" w:color="auto"/>
            </w:tcBorders>
            <w:shd w:val="clear" w:color="auto" w:fill="auto"/>
            <w:vAlign w:val="center"/>
          </w:tcPr>
          <w:p w14:paraId="184686C8" w14:textId="77777777" w:rsidR="009210B8" w:rsidRPr="007E01FD" w:rsidRDefault="009210B8" w:rsidP="009210B8">
            <w:pPr>
              <w:spacing w:after="0" w:line="240" w:lineRule="auto"/>
              <w:jc w:val="right"/>
              <w:rPr>
                <w:rFonts w:cs="Calibri"/>
                <w:b/>
                <w:sz w:val="18"/>
                <w:szCs w:val="18"/>
                <w:lang w:eastAsia="en-AU"/>
              </w:rPr>
            </w:pPr>
            <w:r w:rsidRPr="007E01FD">
              <w:rPr>
                <w:rFonts w:cs="Calibri"/>
                <w:sz w:val="18"/>
                <w:szCs w:val="18"/>
                <w:lang w:eastAsia="en-AU"/>
              </w:rPr>
              <w:t>-57</w:t>
            </w:r>
          </w:p>
        </w:tc>
        <w:tc>
          <w:tcPr>
            <w:tcW w:w="1223" w:type="dxa"/>
            <w:tcBorders>
              <w:top w:val="nil"/>
              <w:left w:val="nil"/>
              <w:bottom w:val="single" w:sz="4" w:space="0" w:color="auto"/>
              <w:right w:val="single" w:sz="4" w:space="0" w:color="auto"/>
            </w:tcBorders>
            <w:shd w:val="clear" w:color="auto" w:fill="auto"/>
            <w:vAlign w:val="center"/>
          </w:tcPr>
          <w:p w14:paraId="64AD618C" w14:textId="77777777" w:rsidR="009210B8" w:rsidRPr="007E01FD" w:rsidRDefault="009210B8" w:rsidP="009210B8">
            <w:pPr>
              <w:spacing w:after="0" w:line="240" w:lineRule="auto"/>
              <w:jc w:val="right"/>
              <w:rPr>
                <w:rFonts w:cs="Calibri"/>
                <w:b/>
                <w:sz w:val="18"/>
                <w:szCs w:val="18"/>
                <w:lang w:eastAsia="en-AU"/>
              </w:rPr>
            </w:pPr>
            <w:r>
              <w:rPr>
                <w:rFonts w:cs="Calibri"/>
                <w:sz w:val="18"/>
                <w:szCs w:val="18"/>
                <w:lang w:eastAsia="en-AU"/>
              </w:rPr>
              <w:t>-</w:t>
            </w:r>
            <w:r w:rsidRPr="007E01FD">
              <w:rPr>
                <w:rFonts w:cs="Calibri"/>
                <w:sz w:val="18"/>
                <w:szCs w:val="18"/>
                <w:lang w:eastAsia="en-AU"/>
              </w:rPr>
              <w:t>3%</w:t>
            </w:r>
          </w:p>
        </w:tc>
      </w:tr>
      <w:tr w:rsidR="009210B8" w:rsidRPr="0055027D" w14:paraId="697CD929" w14:textId="77777777" w:rsidTr="009210B8">
        <w:trPr>
          <w:gridAfter w:val="1"/>
          <w:wAfter w:w="6" w:type="dxa"/>
          <w:trHeight w:val="290"/>
        </w:trPr>
        <w:tc>
          <w:tcPr>
            <w:tcW w:w="1642" w:type="dxa"/>
            <w:tcBorders>
              <w:top w:val="nil"/>
              <w:left w:val="single" w:sz="4" w:space="0" w:color="auto"/>
              <w:bottom w:val="single" w:sz="4" w:space="0" w:color="auto"/>
              <w:right w:val="single" w:sz="4" w:space="0" w:color="auto"/>
            </w:tcBorders>
            <w:shd w:val="clear" w:color="000000" w:fill="E7E6E6"/>
            <w:vAlign w:val="center"/>
          </w:tcPr>
          <w:p w14:paraId="6C145EBE" w14:textId="77777777" w:rsidR="009210B8" w:rsidRPr="007E01FD" w:rsidRDefault="009210B8" w:rsidP="009210B8">
            <w:pPr>
              <w:spacing w:after="0" w:line="240" w:lineRule="auto"/>
              <w:rPr>
                <w:rFonts w:cs="Calibri"/>
                <w:b/>
                <w:sz w:val="18"/>
                <w:szCs w:val="18"/>
                <w:lang w:eastAsia="en-AU"/>
              </w:rPr>
            </w:pPr>
            <w:r w:rsidRPr="007E01FD">
              <w:rPr>
                <w:rFonts w:cs="Calibri"/>
                <w:b/>
                <w:sz w:val="18"/>
                <w:szCs w:val="18"/>
                <w:lang w:eastAsia="en-AU"/>
              </w:rPr>
              <w:t>Total</w:t>
            </w:r>
          </w:p>
        </w:tc>
        <w:tc>
          <w:tcPr>
            <w:tcW w:w="1073" w:type="dxa"/>
            <w:tcBorders>
              <w:top w:val="nil"/>
              <w:left w:val="nil"/>
              <w:bottom w:val="single" w:sz="4" w:space="0" w:color="auto"/>
              <w:right w:val="single" w:sz="4" w:space="0" w:color="auto"/>
            </w:tcBorders>
            <w:shd w:val="clear" w:color="000000" w:fill="E7E6E6"/>
            <w:vAlign w:val="center"/>
          </w:tcPr>
          <w:p w14:paraId="64839256"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16,575</w:t>
            </w:r>
          </w:p>
        </w:tc>
        <w:tc>
          <w:tcPr>
            <w:tcW w:w="1350" w:type="dxa"/>
            <w:tcBorders>
              <w:top w:val="nil"/>
              <w:left w:val="nil"/>
              <w:bottom w:val="single" w:sz="4" w:space="0" w:color="auto"/>
              <w:right w:val="single" w:sz="4" w:space="0" w:color="auto"/>
            </w:tcBorders>
            <w:shd w:val="clear" w:color="000000" w:fill="E7E6E6"/>
            <w:vAlign w:val="center"/>
          </w:tcPr>
          <w:p w14:paraId="2691DC10"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17,947</w:t>
            </w:r>
          </w:p>
        </w:tc>
        <w:tc>
          <w:tcPr>
            <w:tcW w:w="953" w:type="dxa"/>
            <w:tcBorders>
              <w:top w:val="nil"/>
              <w:left w:val="nil"/>
              <w:bottom w:val="single" w:sz="4" w:space="0" w:color="auto"/>
              <w:right w:val="single" w:sz="4" w:space="0" w:color="auto"/>
            </w:tcBorders>
            <w:shd w:val="clear" w:color="000000" w:fill="E7E6E6"/>
            <w:vAlign w:val="center"/>
          </w:tcPr>
          <w:p w14:paraId="44B41E17"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0.92</w:t>
            </w:r>
          </w:p>
        </w:tc>
        <w:tc>
          <w:tcPr>
            <w:tcW w:w="1109" w:type="dxa"/>
            <w:tcBorders>
              <w:top w:val="nil"/>
              <w:left w:val="nil"/>
              <w:bottom w:val="single" w:sz="4" w:space="0" w:color="auto"/>
              <w:right w:val="single" w:sz="4" w:space="0" w:color="auto"/>
            </w:tcBorders>
            <w:shd w:val="clear" w:color="000000" w:fill="E7E6E6"/>
            <w:vAlign w:val="center"/>
          </w:tcPr>
          <w:p w14:paraId="4CF32EBF" w14:textId="77777777" w:rsidR="009210B8" w:rsidRPr="007E01FD" w:rsidRDefault="009210B8" w:rsidP="009210B8">
            <w:pPr>
              <w:spacing w:after="0" w:line="240" w:lineRule="auto"/>
              <w:jc w:val="right"/>
              <w:rPr>
                <w:rFonts w:cs="Calibri"/>
                <w:b/>
                <w:sz w:val="18"/>
                <w:szCs w:val="18"/>
                <w:lang w:eastAsia="en-AU"/>
              </w:rPr>
            </w:pPr>
            <w:r w:rsidRPr="007E01FD">
              <w:rPr>
                <w:rFonts w:cs="Calibri"/>
                <w:b/>
                <w:sz w:val="18"/>
                <w:szCs w:val="18"/>
                <w:lang w:eastAsia="en-AU"/>
              </w:rPr>
              <w:t>-1,372</w:t>
            </w:r>
          </w:p>
        </w:tc>
        <w:tc>
          <w:tcPr>
            <w:tcW w:w="1223" w:type="dxa"/>
            <w:tcBorders>
              <w:top w:val="nil"/>
              <w:left w:val="nil"/>
              <w:bottom w:val="single" w:sz="4" w:space="0" w:color="auto"/>
              <w:right w:val="single" w:sz="4" w:space="0" w:color="auto"/>
            </w:tcBorders>
            <w:shd w:val="clear" w:color="000000" w:fill="E7E6E6"/>
            <w:vAlign w:val="center"/>
          </w:tcPr>
          <w:p w14:paraId="28553FC9" w14:textId="77777777" w:rsidR="009210B8" w:rsidRPr="007E01FD" w:rsidRDefault="009210B8" w:rsidP="009210B8">
            <w:pPr>
              <w:spacing w:after="0" w:line="240" w:lineRule="auto"/>
              <w:jc w:val="right"/>
              <w:rPr>
                <w:rFonts w:cs="Calibri"/>
                <w:b/>
                <w:sz w:val="18"/>
                <w:szCs w:val="18"/>
                <w:lang w:eastAsia="en-AU"/>
              </w:rPr>
            </w:pPr>
            <w:r>
              <w:rPr>
                <w:rFonts w:cs="Calibri"/>
                <w:b/>
                <w:sz w:val="18"/>
                <w:szCs w:val="18"/>
                <w:lang w:eastAsia="en-AU"/>
              </w:rPr>
              <w:t>-</w:t>
            </w:r>
            <w:r w:rsidRPr="007E01FD">
              <w:rPr>
                <w:rFonts w:cs="Calibri"/>
                <w:b/>
                <w:sz w:val="18"/>
                <w:szCs w:val="18"/>
                <w:lang w:eastAsia="en-AU"/>
              </w:rPr>
              <w:t>8%</w:t>
            </w:r>
          </w:p>
        </w:tc>
      </w:tr>
    </w:tbl>
    <w:p w14:paraId="75A3DD3F" w14:textId="77777777" w:rsidR="009210B8" w:rsidRDefault="009210B8" w:rsidP="009210B8"/>
    <w:p w14:paraId="2A6BB48C" w14:textId="77777777" w:rsidR="00D16A9B" w:rsidRDefault="00A036E1">
      <w:pPr>
        <w:pStyle w:val="Heading1a"/>
      </w:pPr>
      <w:bookmarkStart w:id="206" w:name="_Toc227554736"/>
      <w:bookmarkStart w:id="207" w:name="_Toc84363201"/>
      <w:bookmarkEnd w:id="189"/>
      <w:r>
        <w:lastRenderedPageBreak/>
        <w:t>References</w:t>
      </w:r>
      <w:bookmarkEnd w:id="190"/>
      <w:bookmarkEnd w:id="191"/>
      <w:bookmarkEnd w:id="192"/>
      <w:bookmarkEnd w:id="193"/>
      <w:bookmarkEnd w:id="194"/>
      <w:bookmarkEnd w:id="195"/>
      <w:bookmarkEnd w:id="196"/>
      <w:bookmarkEnd w:id="206"/>
      <w:bookmarkEnd w:id="207"/>
    </w:p>
    <w:bookmarkStart w:id="208" w:name="_Hlk83620951"/>
    <w:p w14:paraId="00FA1FAD" w14:textId="77777777" w:rsidR="00953160" w:rsidRPr="007649C1" w:rsidRDefault="00953160" w:rsidP="00953160">
      <w:pPr>
        <w:pStyle w:val="EndNoteBibliography"/>
        <w:spacing w:line="276" w:lineRule="auto"/>
        <w:ind w:left="709" w:hanging="709"/>
        <w:jc w:val="both"/>
        <w:rPr>
          <w:rFonts w:ascii="Century Gothic" w:hAnsi="Century Gothic"/>
          <w:sz w:val="20"/>
        </w:rPr>
      </w:pPr>
      <w:r w:rsidRPr="00DB3641">
        <w:rPr>
          <w:rFonts w:ascii="Century Gothic" w:hAnsi="Century Gothic"/>
          <w:sz w:val="20"/>
          <w:szCs w:val="20"/>
        </w:rPr>
        <w:fldChar w:fldCharType="begin"/>
      </w:r>
      <w:r w:rsidRPr="00DB3641">
        <w:rPr>
          <w:rFonts w:ascii="Century Gothic" w:hAnsi="Century Gothic"/>
          <w:sz w:val="20"/>
          <w:szCs w:val="20"/>
        </w:rPr>
        <w:instrText xml:space="preserve"> ADDIN EN.REFLIST </w:instrText>
      </w:r>
      <w:r w:rsidRPr="00DB3641">
        <w:rPr>
          <w:rFonts w:ascii="Century Gothic" w:hAnsi="Century Gothic"/>
          <w:sz w:val="20"/>
          <w:szCs w:val="20"/>
        </w:rPr>
        <w:fldChar w:fldCharType="separate"/>
      </w:r>
      <w:r w:rsidRPr="007649C1">
        <w:rPr>
          <w:rFonts w:ascii="Century Gothic" w:hAnsi="Century Gothic"/>
          <w:sz w:val="20"/>
        </w:rPr>
        <w:t xml:space="preserve">1. </w:t>
      </w:r>
      <w:r>
        <w:rPr>
          <w:rFonts w:ascii="Century Gothic" w:hAnsi="Century Gothic"/>
          <w:sz w:val="20"/>
        </w:rPr>
        <w:tab/>
      </w:r>
      <w:r w:rsidRPr="007649C1">
        <w:rPr>
          <w:rFonts w:ascii="Century Gothic" w:hAnsi="Century Gothic"/>
          <w:sz w:val="20"/>
        </w:rPr>
        <w:t>Cancer Australia. Review of the impact of COVID-19 on medical services and procedures in Australia utilising MBS data: Skin, breast and colorectal cancers, and telehealth services. Surry Hills, NSW, 2020</w:t>
      </w:r>
      <w:r w:rsidR="00834120">
        <w:rPr>
          <w:rFonts w:ascii="Century Gothic" w:hAnsi="Century Gothic"/>
          <w:sz w:val="20"/>
        </w:rPr>
        <w:t>.</w:t>
      </w:r>
    </w:p>
    <w:p w14:paraId="169DE7E6" w14:textId="77777777" w:rsidR="00953160" w:rsidRPr="007649C1" w:rsidRDefault="00953160" w:rsidP="00953160">
      <w:pPr>
        <w:pStyle w:val="EndNoteBibliography"/>
        <w:spacing w:line="276" w:lineRule="auto"/>
        <w:ind w:left="709" w:hanging="709"/>
        <w:jc w:val="both"/>
        <w:rPr>
          <w:rFonts w:ascii="Century Gothic" w:hAnsi="Century Gothic"/>
          <w:sz w:val="20"/>
        </w:rPr>
      </w:pPr>
      <w:r w:rsidRPr="007649C1">
        <w:rPr>
          <w:rFonts w:ascii="Century Gothic" w:hAnsi="Century Gothic"/>
          <w:sz w:val="20"/>
        </w:rPr>
        <w:t xml:space="preserve">2. </w:t>
      </w:r>
      <w:r>
        <w:rPr>
          <w:rFonts w:ascii="Century Gothic" w:hAnsi="Century Gothic"/>
          <w:sz w:val="20"/>
        </w:rPr>
        <w:tab/>
      </w:r>
      <w:r w:rsidRPr="007649C1">
        <w:rPr>
          <w:rFonts w:ascii="Century Gothic" w:hAnsi="Century Gothic"/>
          <w:sz w:val="20"/>
        </w:rPr>
        <w:t>Cancer Australia. Review of the impact of COVID-19 on medical services and procedures in Australia utilising MBS data: Lung and prostate cancers. Surry Hills, NSW, 2020</w:t>
      </w:r>
      <w:r w:rsidR="00834120">
        <w:rPr>
          <w:rFonts w:ascii="Century Gothic" w:hAnsi="Century Gothic"/>
          <w:sz w:val="20"/>
        </w:rPr>
        <w:t>.</w:t>
      </w:r>
    </w:p>
    <w:p w14:paraId="42D610F0" w14:textId="77777777" w:rsidR="00953160" w:rsidRPr="007649C1" w:rsidRDefault="00953160" w:rsidP="00953160">
      <w:pPr>
        <w:pStyle w:val="EndNoteBibliography"/>
        <w:spacing w:line="276" w:lineRule="auto"/>
        <w:ind w:left="709" w:hanging="709"/>
        <w:jc w:val="both"/>
        <w:rPr>
          <w:rFonts w:ascii="Century Gothic" w:hAnsi="Century Gothic"/>
          <w:sz w:val="20"/>
        </w:rPr>
      </w:pPr>
      <w:r w:rsidRPr="007649C1">
        <w:rPr>
          <w:rFonts w:ascii="Century Gothic" w:hAnsi="Century Gothic"/>
          <w:sz w:val="20"/>
        </w:rPr>
        <w:t xml:space="preserve">3. </w:t>
      </w:r>
      <w:r>
        <w:rPr>
          <w:rFonts w:ascii="Century Gothic" w:hAnsi="Century Gothic"/>
          <w:sz w:val="20"/>
        </w:rPr>
        <w:tab/>
      </w:r>
      <w:r w:rsidRPr="007649C1">
        <w:rPr>
          <w:rFonts w:ascii="Century Gothic" w:hAnsi="Century Gothic"/>
          <w:sz w:val="20"/>
        </w:rPr>
        <w:t>Cancer Australia. National and jurisdictional data on the impact of COVID-19 on medical services and procedures in Australia: Breast, colorectal, lung, prostate and skin cancers. Surry Hills, NSW, 2020</w:t>
      </w:r>
      <w:r w:rsidR="00834120">
        <w:rPr>
          <w:rFonts w:ascii="Century Gothic" w:hAnsi="Century Gothic"/>
          <w:sz w:val="20"/>
        </w:rPr>
        <w:t>.</w:t>
      </w:r>
    </w:p>
    <w:p w14:paraId="295496E0" w14:textId="77777777" w:rsidR="00953160" w:rsidRPr="007649C1" w:rsidRDefault="00953160" w:rsidP="00953160">
      <w:pPr>
        <w:pStyle w:val="EndNoteBibliography"/>
        <w:spacing w:line="276" w:lineRule="auto"/>
        <w:ind w:left="709" w:hanging="709"/>
        <w:jc w:val="both"/>
        <w:rPr>
          <w:rFonts w:ascii="Century Gothic" w:hAnsi="Century Gothic"/>
          <w:sz w:val="20"/>
        </w:rPr>
      </w:pPr>
      <w:r w:rsidRPr="007649C1">
        <w:rPr>
          <w:rFonts w:ascii="Century Gothic" w:hAnsi="Century Gothic"/>
          <w:sz w:val="20"/>
        </w:rPr>
        <w:t xml:space="preserve">4. </w:t>
      </w:r>
      <w:r>
        <w:rPr>
          <w:rFonts w:ascii="Century Gothic" w:hAnsi="Century Gothic"/>
          <w:sz w:val="20"/>
        </w:rPr>
        <w:tab/>
      </w:r>
      <w:r w:rsidRPr="007649C1">
        <w:rPr>
          <w:rFonts w:ascii="Century Gothic" w:hAnsi="Century Gothic"/>
          <w:sz w:val="20"/>
        </w:rPr>
        <w:t>Williams E, Kong JC, Singh P, et al. The impact of the COVID-19 pandemic on colorectal cancer diagnosis and management: A Binational Colorectal Cancer Audit study. ANZ Journal of Surgery. 2021</w:t>
      </w:r>
      <w:r w:rsidR="00834120">
        <w:rPr>
          <w:rFonts w:ascii="Century Gothic" w:hAnsi="Century Gothic"/>
          <w:sz w:val="20"/>
        </w:rPr>
        <w:t>.</w:t>
      </w:r>
    </w:p>
    <w:p w14:paraId="2D2CDCB4" w14:textId="77777777" w:rsidR="00953160" w:rsidRPr="007649C1" w:rsidRDefault="00953160" w:rsidP="00953160">
      <w:pPr>
        <w:pStyle w:val="EndNoteBibliography"/>
        <w:spacing w:line="276" w:lineRule="auto"/>
        <w:ind w:left="709" w:hanging="709"/>
        <w:jc w:val="both"/>
        <w:rPr>
          <w:rFonts w:ascii="Century Gothic" w:hAnsi="Century Gothic"/>
          <w:sz w:val="20"/>
        </w:rPr>
      </w:pPr>
      <w:r w:rsidRPr="007649C1">
        <w:rPr>
          <w:rFonts w:ascii="Century Gothic" w:hAnsi="Century Gothic"/>
          <w:sz w:val="20"/>
        </w:rPr>
        <w:t xml:space="preserve">5. </w:t>
      </w:r>
      <w:r>
        <w:rPr>
          <w:rFonts w:ascii="Century Gothic" w:hAnsi="Century Gothic"/>
          <w:sz w:val="20"/>
        </w:rPr>
        <w:tab/>
      </w:r>
      <w:r w:rsidRPr="007649C1">
        <w:rPr>
          <w:rFonts w:ascii="Century Gothic" w:hAnsi="Century Gothic"/>
          <w:sz w:val="20"/>
        </w:rPr>
        <w:t>Degeling K, Baxter NN, Emery J, et al. An inverse stage-shift model to estimate the excess mortality and health economic impact of delayed access to cancer services due to the COVID-19 pandemic. Asia Pac J Clin Oncol. 2021;17(4):359-367.</w:t>
      </w:r>
    </w:p>
    <w:p w14:paraId="2D1BAA40" w14:textId="77777777" w:rsidR="00953160" w:rsidRPr="007649C1" w:rsidRDefault="00953160" w:rsidP="00953160">
      <w:pPr>
        <w:pStyle w:val="EndNoteBibliography"/>
        <w:spacing w:line="276" w:lineRule="auto"/>
        <w:ind w:left="709" w:hanging="709"/>
        <w:jc w:val="both"/>
        <w:rPr>
          <w:rFonts w:ascii="Century Gothic" w:hAnsi="Century Gothic"/>
          <w:sz w:val="20"/>
        </w:rPr>
      </w:pPr>
      <w:r w:rsidRPr="007649C1">
        <w:rPr>
          <w:rFonts w:ascii="Century Gothic" w:hAnsi="Century Gothic"/>
          <w:sz w:val="20"/>
        </w:rPr>
        <w:t xml:space="preserve">6. </w:t>
      </w:r>
      <w:r>
        <w:rPr>
          <w:rFonts w:ascii="Century Gothic" w:hAnsi="Century Gothic"/>
          <w:sz w:val="20"/>
        </w:rPr>
        <w:tab/>
      </w:r>
      <w:r w:rsidRPr="007649C1">
        <w:rPr>
          <w:rFonts w:ascii="Century Gothic" w:hAnsi="Century Gothic"/>
          <w:sz w:val="20"/>
        </w:rPr>
        <w:t xml:space="preserve">Department of Health. MBS online. Accessed: 16 March 2020; Available at: </w:t>
      </w:r>
      <w:hyperlink r:id="rId39" w:history="1">
        <w:r w:rsidRPr="007649C1">
          <w:rPr>
            <w:rStyle w:val="Hyperlink"/>
            <w:rFonts w:ascii="Century Gothic" w:hAnsi="Century Gothic"/>
            <w:sz w:val="20"/>
          </w:rPr>
          <w:t>http://www9.health.gov.au/mbs/search.cfm</w:t>
        </w:r>
      </w:hyperlink>
    </w:p>
    <w:p w14:paraId="195F3052" w14:textId="77777777" w:rsidR="00953160" w:rsidRPr="007649C1" w:rsidRDefault="00953160" w:rsidP="00953160">
      <w:pPr>
        <w:pStyle w:val="EndNoteBibliography"/>
        <w:spacing w:line="276" w:lineRule="auto"/>
        <w:ind w:left="709" w:hanging="709"/>
        <w:jc w:val="both"/>
        <w:rPr>
          <w:rFonts w:ascii="Century Gothic" w:hAnsi="Century Gothic"/>
          <w:sz w:val="20"/>
        </w:rPr>
      </w:pPr>
      <w:r w:rsidRPr="007649C1">
        <w:rPr>
          <w:rFonts w:ascii="Century Gothic" w:hAnsi="Century Gothic"/>
          <w:sz w:val="20"/>
        </w:rPr>
        <w:t xml:space="preserve">7. </w:t>
      </w:r>
      <w:r>
        <w:rPr>
          <w:rFonts w:ascii="Century Gothic" w:hAnsi="Century Gothic"/>
          <w:sz w:val="20"/>
        </w:rPr>
        <w:tab/>
      </w:r>
      <w:r w:rsidRPr="007649C1">
        <w:rPr>
          <w:rFonts w:ascii="Century Gothic" w:hAnsi="Century Gothic"/>
          <w:sz w:val="20"/>
        </w:rPr>
        <w:t xml:space="preserve">Services Australia. Medicare item reports. Accessed: 13 May 2021; Available at: </w:t>
      </w:r>
      <w:hyperlink r:id="rId40" w:history="1">
        <w:r w:rsidRPr="007649C1">
          <w:rPr>
            <w:rStyle w:val="Hyperlink"/>
            <w:rFonts w:ascii="Century Gothic" w:hAnsi="Century Gothic"/>
            <w:sz w:val="20"/>
          </w:rPr>
          <w:t>http://medicarestatistics.humanservices.gov.au/statistics/mbs_item.jsp</w:t>
        </w:r>
      </w:hyperlink>
    </w:p>
    <w:p w14:paraId="73CD6FCF" w14:textId="77777777" w:rsidR="00953160" w:rsidRPr="007649C1" w:rsidRDefault="00953160" w:rsidP="00953160">
      <w:pPr>
        <w:pStyle w:val="EndNoteBibliography"/>
        <w:spacing w:line="276" w:lineRule="auto"/>
        <w:ind w:left="709" w:hanging="709"/>
        <w:jc w:val="both"/>
        <w:rPr>
          <w:rFonts w:ascii="Century Gothic" w:hAnsi="Century Gothic"/>
          <w:sz w:val="20"/>
        </w:rPr>
      </w:pPr>
      <w:r w:rsidRPr="007649C1">
        <w:rPr>
          <w:rFonts w:ascii="Century Gothic" w:hAnsi="Century Gothic"/>
          <w:sz w:val="20"/>
        </w:rPr>
        <w:t xml:space="preserve">8. </w:t>
      </w:r>
      <w:r>
        <w:rPr>
          <w:rFonts w:ascii="Century Gothic" w:hAnsi="Century Gothic"/>
          <w:sz w:val="20"/>
        </w:rPr>
        <w:tab/>
      </w:r>
      <w:r w:rsidRPr="007649C1">
        <w:rPr>
          <w:rFonts w:ascii="Century Gothic" w:hAnsi="Century Gothic"/>
          <w:sz w:val="20"/>
        </w:rPr>
        <w:t xml:space="preserve">Cancer Council Australia. Optimal care pathway for men with prostate cancer. Accessed: Available at: </w:t>
      </w:r>
      <w:hyperlink r:id="rId41" w:history="1">
        <w:r w:rsidRPr="007649C1">
          <w:rPr>
            <w:rStyle w:val="Hyperlink"/>
            <w:rFonts w:ascii="Century Gothic" w:hAnsi="Century Gothic"/>
            <w:sz w:val="20"/>
          </w:rPr>
          <w:t>https://www.cancer.org.au/health-professionals/optimal-cancer-care-pathways</w:t>
        </w:r>
      </w:hyperlink>
      <w:r w:rsidRPr="007649C1">
        <w:rPr>
          <w:rFonts w:ascii="Century Gothic" w:hAnsi="Century Gothic"/>
          <w:sz w:val="20"/>
        </w:rPr>
        <w:t xml:space="preserve"> </w:t>
      </w:r>
    </w:p>
    <w:p w14:paraId="2B4756FB" w14:textId="77777777" w:rsidR="00953160" w:rsidRPr="007649C1" w:rsidRDefault="00953160" w:rsidP="00953160">
      <w:pPr>
        <w:pStyle w:val="EndNoteBibliography"/>
        <w:spacing w:line="276" w:lineRule="auto"/>
        <w:ind w:left="709" w:hanging="709"/>
        <w:jc w:val="both"/>
      </w:pPr>
      <w:r w:rsidRPr="007649C1">
        <w:rPr>
          <w:rFonts w:ascii="Century Gothic" w:hAnsi="Century Gothic"/>
          <w:sz w:val="20"/>
        </w:rPr>
        <w:t xml:space="preserve">9. </w:t>
      </w:r>
      <w:r>
        <w:rPr>
          <w:rFonts w:ascii="Century Gothic" w:hAnsi="Century Gothic"/>
          <w:sz w:val="20"/>
        </w:rPr>
        <w:tab/>
      </w:r>
      <w:r w:rsidRPr="007649C1">
        <w:rPr>
          <w:rFonts w:ascii="Century Gothic" w:hAnsi="Century Gothic"/>
          <w:sz w:val="20"/>
        </w:rPr>
        <w:t xml:space="preserve">Prostate Cancer Foundation of Australia and Cancer Council Australia PSA Testing Guidelines Expert Advisory Panel. Clinical practice guidelines PSA testing and early management of test-detected prostate cancer. Accessed: 23 August 2021; Available at: </w:t>
      </w:r>
      <w:hyperlink r:id="rId42" w:history="1">
        <w:r w:rsidRPr="007649C1">
          <w:rPr>
            <w:rStyle w:val="Hyperlink"/>
            <w:rFonts w:ascii="Century Gothic" w:hAnsi="Century Gothic"/>
            <w:sz w:val="20"/>
          </w:rPr>
          <w:t>https://wiki.cancer.org.au/australia/Guidelines:PSA_Testing/Active_surveillance</w:t>
        </w:r>
      </w:hyperlink>
    </w:p>
    <w:p w14:paraId="6AE09B8B" w14:textId="77777777" w:rsidR="00953160" w:rsidRDefault="00953160" w:rsidP="00953160">
      <w:pPr>
        <w:pStyle w:val="References"/>
        <w:numPr>
          <w:ilvl w:val="0"/>
          <w:numId w:val="0"/>
        </w:numPr>
      </w:pPr>
      <w:r w:rsidRPr="00DB3641">
        <w:rPr>
          <w:szCs w:val="20"/>
        </w:rPr>
        <w:fldChar w:fldCharType="end"/>
      </w:r>
      <w:bookmarkEnd w:id="208"/>
    </w:p>
    <w:p w14:paraId="45BC24D3" w14:textId="77777777" w:rsidR="00015994" w:rsidRDefault="00015994" w:rsidP="00015994">
      <w:pPr>
        <w:pStyle w:val="References"/>
        <w:numPr>
          <w:ilvl w:val="0"/>
          <w:numId w:val="0"/>
        </w:numPr>
        <w:ind w:left="720"/>
      </w:pPr>
    </w:p>
    <w:p w14:paraId="5DDD79E8" w14:textId="77777777" w:rsidR="00D16A9B" w:rsidRDefault="00D16A9B" w:rsidP="00AA5EAB">
      <w:pPr>
        <w:pStyle w:val="References"/>
        <w:numPr>
          <w:ilvl w:val="0"/>
          <w:numId w:val="0"/>
        </w:numPr>
        <w:ind w:left="720" w:hanging="720"/>
      </w:pPr>
    </w:p>
    <w:p w14:paraId="149AAF85" w14:textId="77777777" w:rsidR="00AA5EAB" w:rsidRDefault="00AA5EAB" w:rsidP="00AA5EAB">
      <w:pPr>
        <w:pStyle w:val="References"/>
        <w:numPr>
          <w:ilvl w:val="0"/>
          <w:numId w:val="0"/>
        </w:numPr>
        <w:ind w:left="720" w:hanging="720"/>
      </w:pPr>
    </w:p>
    <w:p w14:paraId="0D4C4CEC" w14:textId="77777777" w:rsidR="00AA5EAB" w:rsidRDefault="00AA5EAB" w:rsidP="00AA5EAB">
      <w:pPr>
        <w:pStyle w:val="References"/>
        <w:numPr>
          <w:ilvl w:val="0"/>
          <w:numId w:val="0"/>
        </w:numPr>
        <w:ind w:left="720" w:hanging="720"/>
      </w:pPr>
    </w:p>
    <w:p w14:paraId="432FB7C6" w14:textId="77777777" w:rsidR="00AA5EAB" w:rsidRDefault="00AA5EAB" w:rsidP="00AA5EAB">
      <w:pPr>
        <w:pStyle w:val="References"/>
        <w:numPr>
          <w:ilvl w:val="0"/>
          <w:numId w:val="0"/>
        </w:numPr>
        <w:ind w:left="720" w:hanging="720"/>
      </w:pPr>
    </w:p>
    <w:p w14:paraId="18AA100F" w14:textId="77777777" w:rsidR="00AA5EAB" w:rsidRDefault="00AA5EAB" w:rsidP="00AA5EAB">
      <w:pPr>
        <w:pStyle w:val="References"/>
        <w:numPr>
          <w:ilvl w:val="0"/>
          <w:numId w:val="0"/>
        </w:numPr>
        <w:ind w:left="720" w:hanging="720"/>
      </w:pPr>
    </w:p>
    <w:p w14:paraId="4F36BCDB" w14:textId="77777777" w:rsidR="00AA5EAB" w:rsidRDefault="00AA5EAB" w:rsidP="00AA5EAB">
      <w:pPr>
        <w:pStyle w:val="References"/>
        <w:numPr>
          <w:ilvl w:val="0"/>
          <w:numId w:val="0"/>
        </w:numPr>
        <w:ind w:left="720" w:hanging="720"/>
      </w:pPr>
    </w:p>
    <w:p w14:paraId="01F7FA40" w14:textId="77777777" w:rsidR="00AA5EAB" w:rsidRDefault="00AA5EAB" w:rsidP="00AA5EAB">
      <w:pPr>
        <w:pStyle w:val="References"/>
        <w:numPr>
          <w:ilvl w:val="0"/>
          <w:numId w:val="0"/>
        </w:numPr>
        <w:ind w:left="720" w:hanging="720"/>
        <w:jc w:val="right"/>
      </w:pPr>
      <w:r>
        <w:rPr>
          <w:szCs w:val="20"/>
        </w:rPr>
        <w:t>© Cancer Australia 2021</w:t>
      </w:r>
      <w:r w:rsidRPr="00AA5EAB">
        <w:t xml:space="preserve"> </w:t>
      </w:r>
      <w:r w:rsidRPr="00AA5EAB">
        <w:rPr>
          <w:szCs w:val="20"/>
        </w:rPr>
        <w:t>COVMBS1</w:t>
      </w:r>
    </w:p>
    <w:sectPr w:rsidR="00AA5EAB" w:rsidSect="009A5F1A">
      <w:headerReference w:type="default" r:id="rId43"/>
      <w:footerReference w:type="default" r:id="rId44"/>
      <w:footnotePr>
        <w:numFmt w:val="chicago"/>
        <w:numRestart w:val="eachPage"/>
      </w:footnotePr>
      <w:pgSz w:w="11909" w:h="16834" w:code="9"/>
      <w:pgMar w:top="1440" w:right="1440" w:bottom="1440" w:left="1440" w:header="720" w:footer="50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823A4" w14:textId="77777777" w:rsidR="00A21334" w:rsidRDefault="00A21334">
      <w:pPr>
        <w:spacing w:after="0" w:line="240" w:lineRule="auto"/>
      </w:pPr>
      <w:r>
        <w:separator/>
      </w:r>
    </w:p>
  </w:endnote>
  <w:endnote w:type="continuationSeparator" w:id="0">
    <w:p w14:paraId="50D43F78" w14:textId="77777777" w:rsidR="00A21334" w:rsidRDefault="00A21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115" w:type="dxa"/>
        <w:right w:w="115" w:type="dxa"/>
      </w:tblCellMar>
      <w:tblLook w:val="0000" w:firstRow="0" w:lastRow="0" w:firstColumn="0" w:lastColumn="0" w:noHBand="0" w:noVBand="0"/>
    </w:tblPr>
    <w:tblGrid>
      <w:gridCol w:w="581"/>
      <w:gridCol w:w="5751"/>
      <w:gridCol w:w="2697"/>
    </w:tblGrid>
    <w:tr w:rsidR="004177CC" w:rsidRPr="009A19C5" w14:paraId="2891C0E8" w14:textId="77777777" w:rsidTr="00037B0D">
      <w:trPr>
        <w:cantSplit/>
      </w:trPr>
      <w:tc>
        <w:tcPr>
          <w:tcW w:w="590" w:type="dxa"/>
        </w:tcPr>
        <w:p w14:paraId="6B2F085A" w14:textId="77777777" w:rsidR="004177CC" w:rsidRPr="009A19C5" w:rsidRDefault="004177CC" w:rsidP="005B4A99">
          <w:pPr>
            <w:pStyle w:val="Footer"/>
            <w:ind w:left="0" w:firstLine="0"/>
            <w:rPr>
              <w:color w:val="990000"/>
            </w:rPr>
          </w:pPr>
          <w:r>
            <w:rPr>
              <w:rStyle w:val="PageNumber"/>
              <w:color w:val="990000"/>
            </w:rPr>
            <w:fldChar w:fldCharType="begin"/>
          </w:r>
          <w:r>
            <w:rPr>
              <w:rStyle w:val="PageNumber"/>
              <w:color w:val="990000"/>
            </w:rPr>
            <w:instrText xml:space="preserve"> PAGE  </w:instrText>
          </w:r>
          <w:r>
            <w:rPr>
              <w:rStyle w:val="PageNumber"/>
              <w:color w:val="990000"/>
            </w:rPr>
            <w:fldChar w:fldCharType="separate"/>
          </w:r>
          <w:r>
            <w:rPr>
              <w:rStyle w:val="PageNumber"/>
              <w:noProof/>
              <w:color w:val="990000"/>
            </w:rPr>
            <w:t>8</w:t>
          </w:r>
          <w:r>
            <w:rPr>
              <w:rStyle w:val="PageNumber"/>
              <w:color w:val="990000"/>
            </w:rPr>
            <w:fldChar w:fldCharType="end"/>
          </w:r>
        </w:p>
      </w:tc>
      <w:tc>
        <w:tcPr>
          <w:tcW w:w="5904" w:type="dxa"/>
        </w:tcPr>
        <w:p w14:paraId="06605218" w14:textId="77777777" w:rsidR="004177CC" w:rsidRPr="009A19C5" w:rsidRDefault="004177CC" w:rsidP="005B4A99">
          <w:pPr>
            <w:pStyle w:val="Footer"/>
            <w:ind w:left="0" w:firstLine="0"/>
            <w:rPr>
              <w:color w:val="990000"/>
            </w:rPr>
          </w:pPr>
          <w:r w:rsidRPr="00037B0D">
            <w:rPr>
              <w:color w:val="990000"/>
            </w:rPr>
            <w:t>The impact of COVID-19 on cancer-related medical services and procedures in Australia in 2020</w:t>
          </w:r>
        </w:p>
      </w:tc>
      <w:tc>
        <w:tcPr>
          <w:tcW w:w="2765" w:type="dxa"/>
        </w:tcPr>
        <w:p w14:paraId="383A1DB0" w14:textId="77777777" w:rsidR="004177CC" w:rsidRPr="009A19C5" w:rsidRDefault="004177CC">
          <w:pPr>
            <w:pStyle w:val="Footer"/>
            <w:ind w:left="0" w:firstLine="0"/>
            <w:jc w:val="right"/>
            <w:rPr>
              <w:color w:val="990000"/>
            </w:rPr>
          </w:pPr>
        </w:p>
      </w:tc>
    </w:tr>
  </w:tbl>
  <w:p w14:paraId="7AA24132" w14:textId="77777777" w:rsidR="004177CC" w:rsidRPr="009A19C5" w:rsidRDefault="004177CC">
    <w:pPr>
      <w:pStyle w:val="Footer"/>
      <w:rPr>
        <w:color w:val="99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115" w:type="dxa"/>
        <w:right w:w="115" w:type="dxa"/>
      </w:tblCellMar>
      <w:tblLook w:val="0000" w:firstRow="0" w:lastRow="0" w:firstColumn="0" w:lastColumn="0" w:noHBand="0" w:noVBand="0"/>
    </w:tblPr>
    <w:tblGrid>
      <w:gridCol w:w="2552"/>
      <w:gridCol w:w="5892"/>
      <w:gridCol w:w="585"/>
    </w:tblGrid>
    <w:tr w:rsidR="004177CC" w:rsidRPr="005B4A99" w14:paraId="50ACF9D1" w14:textId="77777777" w:rsidTr="00206EB6">
      <w:trPr>
        <w:cantSplit/>
      </w:trPr>
      <w:tc>
        <w:tcPr>
          <w:tcW w:w="2552" w:type="dxa"/>
        </w:tcPr>
        <w:p w14:paraId="0CC2AC6C" w14:textId="77777777" w:rsidR="004177CC" w:rsidRDefault="004177CC">
          <w:pPr>
            <w:pStyle w:val="Footer"/>
            <w:ind w:left="0" w:firstLine="0"/>
          </w:pPr>
        </w:p>
      </w:tc>
      <w:tc>
        <w:tcPr>
          <w:tcW w:w="5892" w:type="dxa"/>
        </w:tcPr>
        <w:p w14:paraId="235D5BF1" w14:textId="5B08B93E" w:rsidR="004177CC" w:rsidRPr="009A19C5" w:rsidRDefault="004177CC">
          <w:pPr>
            <w:pStyle w:val="Footer"/>
            <w:ind w:left="0" w:firstLine="0"/>
            <w:jc w:val="right"/>
            <w:rPr>
              <w:color w:val="990000"/>
            </w:rPr>
          </w:pPr>
          <w:r w:rsidRPr="00037B0D">
            <w:rPr>
              <w:color w:val="990000"/>
            </w:rPr>
            <w:t>The impact of COVID-19 on cancer-related medical services and procedures in Australia in 2020</w:t>
          </w:r>
          <w:r>
            <w:rPr>
              <w:color w:val="990000"/>
            </w:rPr>
            <w:t>: Examination of MBS claims data for 2020, nationally and by jurisdiction – September 2021</w:t>
          </w:r>
        </w:p>
      </w:tc>
      <w:tc>
        <w:tcPr>
          <w:tcW w:w="585" w:type="dxa"/>
        </w:tcPr>
        <w:p w14:paraId="4F9CE293" w14:textId="2F866463" w:rsidR="004177CC" w:rsidRPr="005B4A99" w:rsidRDefault="004177CC" w:rsidP="00F76F37">
          <w:pPr>
            <w:pStyle w:val="Footer"/>
            <w:tabs>
              <w:tab w:val="left" w:pos="255"/>
              <w:tab w:val="right" w:pos="364"/>
            </w:tabs>
            <w:ind w:left="0" w:firstLine="0"/>
            <w:rPr>
              <w:color w:val="990000"/>
            </w:rPr>
          </w:pPr>
          <w:r>
            <w:rPr>
              <w:rStyle w:val="PageNumber"/>
              <w:color w:val="990000"/>
            </w:rPr>
            <w:fldChar w:fldCharType="begin"/>
          </w:r>
          <w:r>
            <w:rPr>
              <w:rStyle w:val="PageNumber"/>
              <w:color w:val="990000"/>
            </w:rPr>
            <w:instrText xml:space="preserve"> PAGE  \* roman </w:instrText>
          </w:r>
          <w:r>
            <w:rPr>
              <w:rStyle w:val="PageNumber"/>
              <w:color w:val="990000"/>
            </w:rPr>
            <w:fldChar w:fldCharType="separate"/>
          </w:r>
          <w:r>
            <w:rPr>
              <w:rStyle w:val="PageNumber"/>
              <w:noProof/>
              <w:color w:val="990000"/>
            </w:rPr>
            <w:t>i</w:t>
          </w:r>
          <w:r>
            <w:rPr>
              <w:rStyle w:val="PageNumber"/>
              <w:color w:val="990000"/>
            </w:rPr>
            <w:fldChar w:fldCharType="end"/>
          </w:r>
        </w:p>
      </w:tc>
    </w:tr>
  </w:tbl>
  <w:p w14:paraId="16F8ADA8" w14:textId="77777777" w:rsidR="004177CC" w:rsidRDefault="004177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115" w:type="dxa"/>
        <w:right w:w="115" w:type="dxa"/>
      </w:tblCellMar>
      <w:tblLook w:val="0000" w:firstRow="0" w:lastRow="0" w:firstColumn="0" w:lastColumn="0" w:noHBand="0" w:noVBand="0"/>
    </w:tblPr>
    <w:tblGrid>
      <w:gridCol w:w="2552"/>
      <w:gridCol w:w="5892"/>
      <w:gridCol w:w="585"/>
    </w:tblGrid>
    <w:tr w:rsidR="004177CC" w:rsidRPr="005B4A99" w14:paraId="18C07227" w14:textId="77777777" w:rsidTr="00206EB6">
      <w:trPr>
        <w:cantSplit/>
      </w:trPr>
      <w:tc>
        <w:tcPr>
          <w:tcW w:w="2552" w:type="dxa"/>
        </w:tcPr>
        <w:p w14:paraId="388F1E2E" w14:textId="77777777" w:rsidR="004177CC" w:rsidRDefault="004177CC">
          <w:pPr>
            <w:pStyle w:val="Footer"/>
            <w:ind w:left="0" w:firstLine="0"/>
          </w:pPr>
        </w:p>
      </w:tc>
      <w:tc>
        <w:tcPr>
          <w:tcW w:w="5892" w:type="dxa"/>
        </w:tcPr>
        <w:p w14:paraId="6585AE70" w14:textId="5DD567B5" w:rsidR="004177CC" w:rsidRPr="009A19C5" w:rsidRDefault="004177CC">
          <w:pPr>
            <w:pStyle w:val="Footer"/>
            <w:ind w:left="0" w:firstLine="0"/>
            <w:jc w:val="right"/>
            <w:rPr>
              <w:color w:val="990000"/>
            </w:rPr>
          </w:pPr>
          <w:r w:rsidRPr="00037B0D">
            <w:rPr>
              <w:color w:val="990000"/>
            </w:rPr>
            <w:t>The impact of COVID-19 on cancer-related medical services and procedures in Australia in 2020</w:t>
          </w:r>
          <w:r>
            <w:rPr>
              <w:color w:val="990000"/>
            </w:rPr>
            <w:t>: Examination of MBS claims data for 2020, nationally and by jurisdiction – September 2021</w:t>
          </w:r>
        </w:p>
      </w:tc>
      <w:tc>
        <w:tcPr>
          <w:tcW w:w="585" w:type="dxa"/>
        </w:tcPr>
        <w:p w14:paraId="5481F5D3" w14:textId="77777777" w:rsidR="004177CC" w:rsidRPr="005B4A99" w:rsidRDefault="004177CC" w:rsidP="00BE01C1">
          <w:pPr>
            <w:pStyle w:val="Footer"/>
            <w:tabs>
              <w:tab w:val="left" w:pos="255"/>
              <w:tab w:val="right" w:pos="364"/>
            </w:tabs>
            <w:ind w:left="0" w:firstLine="0"/>
            <w:rPr>
              <w:color w:val="990000"/>
            </w:rPr>
          </w:pPr>
          <w:r w:rsidRPr="005B4A99">
            <w:rPr>
              <w:rStyle w:val="PageNumber"/>
              <w:color w:val="990000"/>
            </w:rPr>
            <w:tab/>
          </w:r>
          <w:r>
            <w:rPr>
              <w:rStyle w:val="PageNumber"/>
              <w:color w:val="990000"/>
            </w:rPr>
            <w:fldChar w:fldCharType="begin"/>
          </w:r>
          <w:r>
            <w:rPr>
              <w:rStyle w:val="PageNumber"/>
              <w:color w:val="990000"/>
            </w:rPr>
            <w:instrText xml:space="preserve"> PAGE  \* Arabic  \* MERGEFORMAT </w:instrText>
          </w:r>
          <w:r>
            <w:rPr>
              <w:rStyle w:val="PageNumber"/>
              <w:color w:val="990000"/>
            </w:rPr>
            <w:fldChar w:fldCharType="separate"/>
          </w:r>
          <w:r>
            <w:rPr>
              <w:rStyle w:val="PageNumber"/>
              <w:noProof/>
              <w:color w:val="990000"/>
            </w:rPr>
            <w:t>7</w:t>
          </w:r>
          <w:r>
            <w:rPr>
              <w:rStyle w:val="PageNumber"/>
              <w:color w:val="990000"/>
            </w:rPr>
            <w:fldChar w:fldCharType="end"/>
          </w:r>
        </w:p>
      </w:tc>
    </w:tr>
  </w:tbl>
  <w:p w14:paraId="29E7F51F" w14:textId="77777777" w:rsidR="004177CC" w:rsidRDefault="00417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51CED" w14:textId="77777777" w:rsidR="00A21334" w:rsidRDefault="00A21334">
      <w:pPr>
        <w:spacing w:after="60" w:line="240" w:lineRule="auto"/>
      </w:pPr>
      <w:r>
        <w:separator/>
      </w:r>
    </w:p>
  </w:footnote>
  <w:footnote w:type="continuationSeparator" w:id="0">
    <w:p w14:paraId="39D511B0" w14:textId="77777777" w:rsidR="00A21334" w:rsidRDefault="00A21334">
      <w:pPr>
        <w:spacing w:after="60" w:line="240" w:lineRule="auto"/>
      </w:pPr>
      <w:r>
        <w:continuationSeparator/>
      </w:r>
    </w:p>
  </w:footnote>
  <w:footnote w:type="continuationNotice" w:id="1">
    <w:p w14:paraId="2EBABD59" w14:textId="77777777" w:rsidR="00A21334" w:rsidRDefault="00A21334">
      <w:pPr>
        <w:spacing w:after="0" w:line="240" w:lineRule="auto"/>
      </w:pPr>
    </w:p>
  </w:footnote>
  <w:footnote w:id="2">
    <w:p w14:paraId="7B86BE66" w14:textId="77777777" w:rsidR="004177CC" w:rsidRPr="00DB1755" w:rsidRDefault="004177CC" w:rsidP="007F4E3A">
      <w:pPr>
        <w:pStyle w:val="FootnoteText"/>
        <w:rPr>
          <w:color w:val="595959"/>
          <w:sz w:val="15"/>
          <w:szCs w:val="16"/>
        </w:rPr>
      </w:pPr>
      <w:r w:rsidRPr="00DB1755">
        <w:rPr>
          <w:color w:val="595959"/>
          <w:sz w:val="15"/>
          <w:szCs w:val="16"/>
        </w:rPr>
        <w:footnoteRef/>
      </w:r>
      <w:r w:rsidRPr="00DB1755">
        <w:rPr>
          <w:color w:val="595959"/>
          <w:sz w:val="15"/>
          <w:szCs w:val="16"/>
        </w:rPr>
        <w:t xml:space="preserve"> T</w:t>
      </w:r>
      <w:r w:rsidRPr="002A1427">
        <w:rPr>
          <w:color w:val="595959"/>
          <w:sz w:val="15"/>
          <w:szCs w:val="16"/>
        </w:rPr>
        <w:t>he MBS data analysed in this report do not include screening mammograms for breast cancer, faecal occult blood test (FOBT) screening for colorectal cancer, or human papillomavirus (HPV) cervical screening tests for cervical cancer or complementary services undertaken within the public sector.</w:t>
      </w:r>
    </w:p>
  </w:footnote>
  <w:footnote w:id="3">
    <w:p w14:paraId="7B4359E5" w14:textId="77777777" w:rsidR="004177CC" w:rsidRPr="00DB1755" w:rsidRDefault="004177CC" w:rsidP="007F4E3A">
      <w:pPr>
        <w:pStyle w:val="FootnoteText"/>
        <w:rPr>
          <w:color w:val="595959"/>
          <w:sz w:val="15"/>
          <w:szCs w:val="16"/>
        </w:rPr>
      </w:pPr>
      <w:r w:rsidRPr="00DB1755">
        <w:rPr>
          <w:color w:val="595959"/>
          <w:sz w:val="15"/>
          <w:szCs w:val="16"/>
        </w:rPr>
        <w:footnoteRef/>
      </w:r>
      <w:r w:rsidRPr="00DB1755">
        <w:rPr>
          <w:color w:val="595959"/>
          <w:sz w:val="15"/>
          <w:szCs w:val="16"/>
        </w:rPr>
        <w:t xml:space="preserve"> </w:t>
      </w:r>
      <w:r>
        <w:rPr>
          <w:color w:val="595959"/>
          <w:sz w:val="15"/>
          <w:szCs w:val="16"/>
        </w:rPr>
        <w:t>D</w:t>
      </w:r>
      <w:r w:rsidRPr="00B168E1">
        <w:rPr>
          <w:color w:val="595959"/>
          <w:sz w:val="15"/>
          <w:szCs w:val="16"/>
        </w:rPr>
        <w:t>iagnostic procedure</w:t>
      </w:r>
      <w:r>
        <w:rPr>
          <w:color w:val="595959"/>
          <w:sz w:val="15"/>
          <w:szCs w:val="16"/>
        </w:rPr>
        <w:t>s</w:t>
      </w:r>
      <w:r w:rsidRPr="00B168E1">
        <w:rPr>
          <w:color w:val="595959"/>
          <w:sz w:val="15"/>
          <w:szCs w:val="16"/>
        </w:rPr>
        <w:t xml:space="preserve"> </w:t>
      </w:r>
      <w:r>
        <w:rPr>
          <w:color w:val="595959"/>
          <w:sz w:val="15"/>
          <w:szCs w:val="16"/>
        </w:rPr>
        <w:t>used for detection of stomach and pancreatic</w:t>
      </w:r>
      <w:r w:rsidRPr="00B168E1">
        <w:rPr>
          <w:color w:val="595959"/>
          <w:sz w:val="15"/>
          <w:szCs w:val="16"/>
        </w:rPr>
        <w:t xml:space="preserve"> </w:t>
      </w:r>
      <w:r>
        <w:rPr>
          <w:color w:val="595959"/>
          <w:sz w:val="15"/>
          <w:szCs w:val="16"/>
        </w:rPr>
        <w:t xml:space="preserve">cancers </w:t>
      </w:r>
      <w:r w:rsidRPr="00B168E1">
        <w:rPr>
          <w:color w:val="595959"/>
          <w:sz w:val="15"/>
          <w:szCs w:val="16"/>
        </w:rPr>
        <w:t xml:space="preserve">may also be used </w:t>
      </w:r>
      <w:r>
        <w:rPr>
          <w:color w:val="595959"/>
          <w:sz w:val="15"/>
          <w:szCs w:val="16"/>
        </w:rPr>
        <w:t xml:space="preserve">as diagnostic procedures for detecting </w:t>
      </w:r>
      <w:r w:rsidRPr="00B168E1">
        <w:rPr>
          <w:color w:val="595959"/>
          <w:sz w:val="15"/>
          <w:szCs w:val="16"/>
        </w:rPr>
        <w:t>oesophageal cancer</w:t>
      </w:r>
      <w:r>
        <w:rPr>
          <w:color w:val="595959"/>
          <w:sz w:val="15"/>
          <w:szCs w:val="16"/>
        </w:rPr>
        <w:t>s</w:t>
      </w:r>
      <w:r w:rsidRPr="00B168E1">
        <w:rPr>
          <w:color w:val="595959"/>
          <w:sz w:val="15"/>
          <w:szCs w:val="16"/>
        </w:rPr>
        <w:t>.</w:t>
      </w:r>
      <w:r w:rsidRPr="00DB1755">
        <w:rPr>
          <w:color w:val="595959"/>
          <w:sz w:val="15"/>
          <w:szCs w:val="16"/>
        </w:rPr>
        <w:t xml:space="preserve"> </w:t>
      </w:r>
    </w:p>
  </w:footnote>
  <w:footnote w:id="4">
    <w:p w14:paraId="61DC965B" w14:textId="77777777" w:rsidR="004177CC" w:rsidRPr="00DB1755" w:rsidRDefault="004177CC" w:rsidP="007F4E3A">
      <w:pPr>
        <w:pStyle w:val="FootnoteText"/>
        <w:rPr>
          <w:color w:val="595959"/>
          <w:sz w:val="15"/>
          <w:szCs w:val="16"/>
        </w:rPr>
      </w:pPr>
      <w:r w:rsidRPr="00DB1755">
        <w:rPr>
          <w:color w:val="595959"/>
          <w:sz w:val="15"/>
        </w:rPr>
        <w:footnoteRef/>
      </w:r>
      <w:r w:rsidRPr="00DB1755">
        <w:rPr>
          <w:color w:val="595959"/>
          <w:sz w:val="15"/>
          <w:szCs w:val="16"/>
        </w:rPr>
        <w:t xml:space="preserve"> Grouping includes Malignant Melanoma, Appendageal Carcinoma, Malignant Fibrous Tumour of Skin, Merkel Cell Carcinoma of Skin, or Hutchinson's Melanotic Freckle)</w:t>
      </w:r>
    </w:p>
  </w:footnote>
  <w:footnote w:id="5">
    <w:p w14:paraId="74EC64E0" w14:textId="77777777" w:rsidR="004177CC" w:rsidRPr="00A55B99" w:rsidRDefault="004177CC" w:rsidP="002F66DF">
      <w:pPr>
        <w:keepLines/>
        <w:spacing w:before="40" w:after="0" w:line="240" w:lineRule="auto"/>
        <w:rPr>
          <w:rFonts w:cs="Arial"/>
          <w:i/>
          <w:color w:val="46484B"/>
          <w:sz w:val="16"/>
          <w:szCs w:val="16"/>
          <w:lang w:eastAsia="en-AU"/>
        </w:rPr>
      </w:pPr>
      <w:r w:rsidRPr="00CB132E">
        <w:rPr>
          <w:color w:val="595959"/>
          <w:sz w:val="15"/>
        </w:rPr>
        <w:footnoteRef/>
      </w:r>
      <w:r w:rsidRPr="00CB132E">
        <w:rPr>
          <w:color w:val="595959"/>
          <w:sz w:val="15"/>
          <w:szCs w:val="16"/>
        </w:rPr>
        <w:t xml:space="preserve"> The figures in the report include only those services that are performed by a registered provider, for services that qualify for Medicare Benefit and for which a claim has been processed by Services Australia. They do not include services provided by hospital doctors to public patients in public hospitals or services that qualify for a benefit under the Department of Veterans' Affairs National Treatment Account. </w:t>
      </w:r>
      <w:r>
        <w:rPr>
          <w:color w:val="595959"/>
          <w:sz w:val="15"/>
          <w:szCs w:val="16"/>
        </w:rPr>
        <w:t>Services in the relevant periods</w:t>
      </w:r>
      <w:r w:rsidRPr="00CB132E">
        <w:rPr>
          <w:color w:val="595959"/>
          <w:sz w:val="15"/>
          <w:szCs w:val="16"/>
        </w:rPr>
        <w:t xml:space="preserve"> </w:t>
      </w:r>
      <w:r>
        <w:rPr>
          <w:color w:val="595959"/>
          <w:sz w:val="15"/>
          <w:szCs w:val="16"/>
        </w:rPr>
        <w:t>are</w:t>
      </w:r>
      <w:r w:rsidRPr="00CB132E">
        <w:rPr>
          <w:color w:val="595959"/>
          <w:sz w:val="15"/>
          <w:szCs w:val="16"/>
        </w:rPr>
        <w:t xml:space="preserve"> determined by the date the service was processed by Services Australia, not the date the service was provided. </w:t>
      </w:r>
    </w:p>
  </w:footnote>
  <w:footnote w:id="6">
    <w:p w14:paraId="2BE6DF96" w14:textId="77777777" w:rsidR="004177CC" w:rsidRPr="00A9018F" w:rsidRDefault="004177CC" w:rsidP="002F66DF">
      <w:pPr>
        <w:pStyle w:val="FootnoteText"/>
        <w:rPr>
          <w:szCs w:val="16"/>
          <w:lang w:val="en-US"/>
        </w:rPr>
      </w:pPr>
      <w:r w:rsidRPr="006B2C13">
        <w:rPr>
          <w:color w:val="595959"/>
          <w:sz w:val="15"/>
        </w:rPr>
        <w:footnoteRef/>
      </w:r>
      <w:r w:rsidRPr="006B2C13">
        <w:rPr>
          <w:color w:val="595959"/>
          <w:sz w:val="15"/>
          <w:szCs w:val="16"/>
        </w:rPr>
        <w:t xml:space="preserve"> EBRT delivery includes standard LINAC delivery as well as image-guided intensity modulated radiotherapy (IMRT) – services are reimbursed as fractions and without linkage across services, it is difficult to understand patterns of delivery.</w:t>
      </w:r>
      <w:r>
        <w:rPr>
          <w:szCs w:val="16"/>
        </w:rPr>
        <w:t xml:space="preserve"> </w:t>
      </w:r>
    </w:p>
  </w:footnote>
  <w:footnote w:id="7">
    <w:p w14:paraId="531C3ADC" w14:textId="77777777" w:rsidR="004177CC" w:rsidRPr="00B168E1" w:rsidRDefault="004177CC" w:rsidP="002F66DF">
      <w:pPr>
        <w:pStyle w:val="FootnoteText"/>
        <w:rPr>
          <w:lang w:val="en-US"/>
        </w:rPr>
      </w:pPr>
      <w:r w:rsidRPr="00DB1755">
        <w:rPr>
          <w:color w:val="595959"/>
          <w:sz w:val="15"/>
          <w:szCs w:val="22"/>
        </w:rPr>
        <w:footnoteRef/>
      </w:r>
      <w:r w:rsidRPr="00DB1755">
        <w:rPr>
          <w:color w:val="595959"/>
          <w:sz w:val="15"/>
          <w:szCs w:val="22"/>
        </w:rPr>
        <w:t xml:space="preserve"> </w:t>
      </w:r>
      <w:r>
        <w:rPr>
          <w:color w:val="595959"/>
          <w:sz w:val="15"/>
          <w:szCs w:val="16"/>
        </w:rPr>
        <w:t>D</w:t>
      </w:r>
      <w:r w:rsidRPr="00B168E1">
        <w:rPr>
          <w:color w:val="595959"/>
          <w:sz w:val="15"/>
          <w:szCs w:val="16"/>
        </w:rPr>
        <w:t>iagnostic procedure</w:t>
      </w:r>
      <w:r>
        <w:rPr>
          <w:color w:val="595959"/>
          <w:sz w:val="15"/>
          <w:szCs w:val="16"/>
        </w:rPr>
        <w:t>s</w:t>
      </w:r>
      <w:r w:rsidRPr="00B168E1">
        <w:rPr>
          <w:color w:val="595959"/>
          <w:sz w:val="15"/>
          <w:szCs w:val="16"/>
        </w:rPr>
        <w:t xml:space="preserve"> </w:t>
      </w:r>
      <w:r>
        <w:rPr>
          <w:color w:val="595959"/>
          <w:sz w:val="15"/>
          <w:szCs w:val="16"/>
        </w:rPr>
        <w:t>used for the detection of stomach and pancreatic</w:t>
      </w:r>
      <w:r w:rsidRPr="00B168E1">
        <w:rPr>
          <w:color w:val="595959"/>
          <w:sz w:val="15"/>
          <w:szCs w:val="16"/>
        </w:rPr>
        <w:t xml:space="preserve"> </w:t>
      </w:r>
      <w:r>
        <w:rPr>
          <w:color w:val="595959"/>
          <w:sz w:val="15"/>
          <w:szCs w:val="16"/>
        </w:rPr>
        <w:t xml:space="preserve">cancers </w:t>
      </w:r>
      <w:r w:rsidRPr="00B168E1">
        <w:rPr>
          <w:color w:val="595959"/>
          <w:sz w:val="15"/>
          <w:szCs w:val="16"/>
        </w:rPr>
        <w:t xml:space="preserve">may also be used </w:t>
      </w:r>
      <w:r>
        <w:rPr>
          <w:color w:val="595959"/>
          <w:sz w:val="15"/>
          <w:szCs w:val="16"/>
        </w:rPr>
        <w:t xml:space="preserve">as diagnostic procedures for detecting </w:t>
      </w:r>
      <w:r w:rsidRPr="00B168E1">
        <w:rPr>
          <w:color w:val="595959"/>
          <w:sz w:val="15"/>
          <w:szCs w:val="16"/>
        </w:rPr>
        <w:t>oesophageal cancer.</w:t>
      </w:r>
      <w:r>
        <w:rPr>
          <w:lang w:val="en-US"/>
        </w:rPr>
        <w:t xml:space="preserve"> </w:t>
      </w:r>
    </w:p>
  </w:footnote>
  <w:footnote w:id="8">
    <w:p w14:paraId="3C631165" w14:textId="77777777" w:rsidR="004177CC" w:rsidRPr="00DB1755" w:rsidRDefault="004177CC" w:rsidP="00AF6449">
      <w:pPr>
        <w:pStyle w:val="FootnoteText"/>
        <w:rPr>
          <w:color w:val="595959"/>
          <w:sz w:val="15"/>
          <w:szCs w:val="16"/>
        </w:rPr>
      </w:pPr>
      <w:r w:rsidRPr="00DB1755">
        <w:rPr>
          <w:color w:val="595959"/>
          <w:sz w:val="15"/>
          <w:szCs w:val="16"/>
        </w:rPr>
        <w:footnoteRef/>
      </w:r>
      <w:r w:rsidRPr="00DB1755">
        <w:rPr>
          <w:color w:val="595959"/>
          <w:sz w:val="15"/>
          <w:szCs w:val="16"/>
        </w:rPr>
        <w:t xml:space="preserve"> The MBS data analysed in this report do not include procedures for </w:t>
      </w:r>
      <w:r>
        <w:rPr>
          <w:color w:val="595959"/>
          <w:sz w:val="15"/>
          <w:szCs w:val="16"/>
        </w:rPr>
        <w:t xml:space="preserve">screening </w:t>
      </w:r>
      <w:r w:rsidRPr="00DB1755">
        <w:rPr>
          <w:color w:val="595959"/>
          <w:sz w:val="15"/>
          <w:szCs w:val="16"/>
        </w:rPr>
        <w:t>mammograms</w:t>
      </w:r>
      <w:r>
        <w:rPr>
          <w:color w:val="595959"/>
          <w:sz w:val="15"/>
          <w:szCs w:val="16"/>
        </w:rPr>
        <w:t xml:space="preserve"> for breast cancer</w:t>
      </w:r>
      <w:r w:rsidRPr="00DB1755">
        <w:rPr>
          <w:color w:val="595959"/>
          <w:sz w:val="15"/>
          <w:szCs w:val="16"/>
        </w:rPr>
        <w:t xml:space="preserve">, </w:t>
      </w:r>
      <w:r w:rsidRPr="002046F8">
        <w:rPr>
          <w:color w:val="595959"/>
          <w:sz w:val="15"/>
          <w:szCs w:val="16"/>
        </w:rPr>
        <w:t>faecal occult blood test (FOBT)</w:t>
      </w:r>
      <w:r>
        <w:rPr>
          <w:color w:val="595959"/>
          <w:sz w:val="15"/>
          <w:szCs w:val="16"/>
        </w:rPr>
        <w:t xml:space="preserve"> </w:t>
      </w:r>
      <w:r w:rsidRPr="00DB1755">
        <w:rPr>
          <w:color w:val="595959"/>
          <w:sz w:val="15"/>
          <w:szCs w:val="16"/>
        </w:rPr>
        <w:t xml:space="preserve">screening for cancer of the bowel, or </w:t>
      </w:r>
      <w:r w:rsidRPr="00500F08">
        <w:rPr>
          <w:color w:val="595959"/>
          <w:sz w:val="15"/>
          <w:szCs w:val="16"/>
        </w:rPr>
        <w:t>cervical screening test for human papillomavirus (HPV)</w:t>
      </w:r>
      <w:r w:rsidRPr="00DB1755">
        <w:rPr>
          <w:color w:val="595959"/>
          <w:sz w:val="15"/>
          <w:szCs w:val="16"/>
        </w:rPr>
        <w:t xml:space="preserve"> or complementary services undertaken within the public sector.</w:t>
      </w:r>
    </w:p>
  </w:footnote>
  <w:footnote w:id="9">
    <w:p w14:paraId="3F9F2CE7" w14:textId="77777777" w:rsidR="004177CC" w:rsidRPr="00DB1755" w:rsidRDefault="004177CC" w:rsidP="002546DF">
      <w:pPr>
        <w:pStyle w:val="FootnoteText"/>
        <w:rPr>
          <w:color w:val="595959"/>
          <w:sz w:val="15"/>
          <w:szCs w:val="16"/>
        </w:rPr>
      </w:pPr>
      <w:r w:rsidRPr="00DB1755">
        <w:rPr>
          <w:color w:val="595959"/>
          <w:sz w:val="15"/>
        </w:rPr>
        <w:footnoteRef/>
      </w:r>
      <w:r w:rsidRPr="00DB1755">
        <w:rPr>
          <w:color w:val="595959"/>
          <w:sz w:val="15"/>
          <w:szCs w:val="16"/>
        </w:rPr>
        <w:t xml:space="preserve"> Expected estimates from the linear regression of yearly services in 2017, 2018 and 2019. Data for 2019 is used when previous data not available.</w:t>
      </w:r>
    </w:p>
  </w:footnote>
  <w:footnote w:id="10">
    <w:p w14:paraId="588A7242" w14:textId="77777777" w:rsidR="004177CC" w:rsidRPr="00DB1755" w:rsidRDefault="004177CC" w:rsidP="002546DF">
      <w:pPr>
        <w:pStyle w:val="FootnoteText"/>
        <w:rPr>
          <w:color w:val="595959"/>
          <w:sz w:val="15"/>
          <w:szCs w:val="16"/>
        </w:rPr>
      </w:pPr>
      <w:r w:rsidRPr="00DB1755">
        <w:rPr>
          <w:color w:val="595959"/>
          <w:sz w:val="15"/>
        </w:rPr>
        <w:footnoteRef/>
      </w:r>
      <w:r w:rsidRPr="00DB1755">
        <w:rPr>
          <w:color w:val="595959"/>
          <w:sz w:val="15"/>
          <w:szCs w:val="16"/>
        </w:rPr>
        <w:t xml:space="preserve"> Colorectal cancer-related procedures excluded a separate item code for removal of polyp(s) procedures during colonoscopy procedures as the introduction of the separate MBS item code for this specific procedure type and data was only available from Oct 2019 onwards. </w:t>
      </w:r>
    </w:p>
  </w:footnote>
  <w:footnote w:id="11">
    <w:p w14:paraId="524E2DBC" w14:textId="77777777" w:rsidR="004177CC" w:rsidRPr="00DB1755" w:rsidRDefault="004177CC" w:rsidP="002546DF">
      <w:pPr>
        <w:pStyle w:val="FootnoteText"/>
        <w:rPr>
          <w:color w:val="595959"/>
          <w:sz w:val="15"/>
          <w:szCs w:val="16"/>
        </w:rPr>
      </w:pPr>
      <w:r w:rsidRPr="00DB1755">
        <w:rPr>
          <w:color w:val="595959"/>
          <w:sz w:val="15"/>
        </w:rPr>
        <w:footnoteRef/>
      </w:r>
      <w:r w:rsidRPr="00DB1755">
        <w:rPr>
          <w:color w:val="595959"/>
          <w:sz w:val="15"/>
          <w:szCs w:val="16"/>
        </w:rPr>
        <w:t xml:space="preserve"> </w:t>
      </w:r>
      <w:r>
        <w:rPr>
          <w:color w:val="595959"/>
          <w:sz w:val="15"/>
          <w:szCs w:val="16"/>
        </w:rPr>
        <w:t>M</w:t>
      </w:r>
      <w:r w:rsidRPr="00196059">
        <w:rPr>
          <w:color w:val="595959"/>
          <w:sz w:val="15"/>
          <w:szCs w:val="16"/>
        </w:rPr>
        <w:t>agnetic resonance imaging (MRI)</w:t>
      </w:r>
      <w:r w:rsidRPr="00DB1755">
        <w:rPr>
          <w:color w:val="595959"/>
          <w:sz w:val="15"/>
          <w:szCs w:val="16"/>
        </w:rPr>
        <w:t xml:space="preserve"> scan for detection of prostate cancer data available from July 2018 onwards.</w:t>
      </w:r>
    </w:p>
  </w:footnote>
  <w:footnote w:id="12">
    <w:p w14:paraId="1C3D6462" w14:textId="77777777" w:rsidR="004177CC" w:rsidRDefault="004177CC" w:rsidP="002546DF">
      <w:pPr>
        <w:pStyle w:val="FootnoteText"/>
      </w:pPr>
      <w:r w:rsidRPr="00DC1B2B">
        <w:rPr>
          <w:color w:val="595959"/>
          <w:sz w:val="15"/>
          <w:szCs w:val="16"/>
        </w:rPr>
        <w:footnoteRef/>
      </w:r>
      <w:r w:rsidRPr="00DC1B2B">
        <w:rPr>
          <w:color w:val="595959"/>
          <w:sz w:val="15"/>
          <w:szCs w:val="16"/>
        </w:rPr>
        <w:t xml:space="preserve"> </w:t>
      </w:r>
      <w:r>
        <w:rPr>
          <w:color w:val="595959"/>
          <w:sz w:val="15"/>
          <w:szCs w:val="16"/>
        </w:rPr>
        <w:t>D</w:t>
      </w:r>
      <w:r w:rsidRPr="00B168E1">
        <w:rPr>
          <w:color w:val="595959"/>
          <w:sz w:val="15"/>
          <w:szCs w:val="16"/>
        </w:rPr>
        <w:t>iagnostic procedure</w:t>
      </w:r>
      <w:r>
        <w:rPr>
          <w:color w:val="595959"/>
          <w:sz w:val="15"/>
          <w:szCs w:val="16"/>
        </w:rPr>
        <w:t>s</w:t>
      </w:r>
      <w:r w:rsidRPr="00B168E1">
        <w:rPr>
          <w:color w:val="595959"/>
          <w:sz w:val="15"/>
          <w:szCs w:val="16"/>
        </w:rPr>
        <w:t xml:space="preserve"> </w:t>
      </w:r>
      <w:r>
        <w:rPr>
          <w:color w:val="595959"/>
          <w:sz w:val="15"/>
          <w:szCs w:val="16"/>
        </w:rPr>
        <w:t>used for detection of stomach and pancreatic</w:t>
      </w:r>
      <w:r w:rsidRPr="00B168E1">
        <w:rPr>
          <w:color w:val="595959"/>
          <w:sz w:val="15"/>
          <w:szCs w:val="16"/>
        </w:rPr>
        <w:t xml:space="preserve"> </w:t>
      </w:r>
      <w:r>
        <w:rPr>
          <w:color w:val="595959"/>
          <w:sz w:val="15"/>
          <w:szCs w:val="16"/>
        </w:rPr>
        <w:t xml:space="preserve">cancers </w:t>
      </w:r>
      <w:r w:rsidRPr="00B168E1">
        <w:rPr>
          <w:color w:val="595959"/>
          <w:sz w:val="15"/>
          <w:szCs w:val="16"/>
        </w:rPr>
        <w:t xml:space="preserve">may also be used </w:t>
      </w:r>
      <w:r>
        <w:rPr>
          <w:color w:val="595959"/>
          <w:sz w:val="15"/>
          <w:szCs w:val="16"/>
        </w:rPr>
        <w:t xml:space="preserve">as  procedures for detecting </w:t>
      </w:r>
      <w:r w:rsidRPr="00B168E1">
        <w:rPr>
          <w:color w:val="595959"/>
          <w:sz w:val="15"/>
          <w:szCs w:val="16"/>
        </w:rPr>
        <w:t>oesophageal cancer.</w:t>
      </w:r>
    </w:p>
  </w:footnote>
  <w:footnote w:id="13">
    <w:p w14:paraId="7A40CA55" w14:textId="77777777" w:rsidR="004177CC" w:rsidRPr="00DB1755" w:rsidRDefault="004177CC" w:rsidP="002546DF">
      <w:pPr>
        <w:pStyle w:val="FootnoteText"/>
        <w:rPr>
          <w:color w:val="595959"/>
          <w:sz w:val="15"/>
          <w:szCs w:val="16"/>
        </w:rPr>
      </w:pPr>
      <w:r w:rsidRPr="00DB1755">
        <w:rPr>
          <w:color w:val="595959"/>
          <w:sz w:val="15"/>
        </w:rPr>
        <w:footnoteRef/>
      </w:r>
      <w:r w:rsidRPr="00DB1755">
        <w:rPr>
          <w:color w:val="595959"/>
          <w:sz w:val="15"/>
          <w:szCs w:val="16"/>
        </w:rPr>
        <w:t xml:space="preserve"> Data for whole body PET study for suspected gastro-entero-pancreatic neuroendocrine tumour from May 2018.</w:t>
      </w:r>
    </w:p>
  </w:footnote>
  <w:footnote w:id="14">
    <w:p w14:paraId="229F0AB4" w14:textId="77777777" w:rsidR="004177CC" w:rsidRDefault="004177CC" w:rsidP="002546DF">
      <w:pPr>
        <w:pStyle w:val="FootnoteText"/>
      </w:pPr>
      <w:r w:rsidRPr="006B4217">
        <w:rPr>
          <w:color w:val="595959"/>
          <w:sz w:val="15"/>
          <w:szCs w:val="16"/>
        </w:rPr>
        <w:footnoteRef/>
      </w:r>
      <w:r w:rsidRPr="006B4217">
        <w:rPr>
          <w:color w:val="595959"/>
          <w:sz w:val="15"/>
          <w:szCs w:val="16"/>
        </w:rPr>
        <w:t xml:space="preserve"> </w:t>
      </w:r>
      <w:r>
        <w:rPr>
          <w:color w:val="595959"/>
          <w:sz w:val="15"/>
          <w:szCs w:val="16"/>
        </w:rPr>
        <w:t xml:space="preserve">Endometrial biopsy for suspected malignancy for the detection of uterine cancer </w:t>
      </w:r>
      <w:r w:rsidRPr="006B4217">
        <w:rPr>
          <w:color w:val="595959"/>
          <w:sz w:val="15"/>
          <w:szCs w:val="16"/>
        </w:rPr>
        <w:t>may also be used for diagnosing other gynaecological cancers</w:t>
      </w:r>
      <w:r>
        <w:rPr>
          <w:color w:val="595959"/>
          <w:sz w:val="15"/>
          <w:szCs w:val="16"/>
        </w:rPr>
        <w:t>.</w:t>
      </w:r>
    </w:p>
  </w:footnote>
  <w:footnote w:id="15">
    <w:p w14:paraId="4A6A5D8D" w14:textId="77777777" w:rsidR="004177CC" w:rsidRPr="00DB1755" w:rsidRDefault="004177CC" w:rsidP="009850D3">
      <w:pPr>
        <w:pStyle w:val="FootnoteText"/>
        <w:rPr>
          <w:color w:val="595959"/>
          <w:sz w:val="15"/>
          <w:szCs w:val="16"/>
        </w:rPr>
      </w:pPr>
      <w:r w:rsidRPr="00DB1755">
        <w:rPr>
          <w:color w:val="595959"/>
          <w:sz w:val="15"/>
          <w:szCs w:val="16"/>
        </w:rPr>
        <w:footnoteRef/>
      </w:r>
      <w:r w:rsidRPr="00DB1755">
        <w:rPr>
          <w:color w:val="595959"/>
          <w:sz w:val="15"/>
          <w:szCs w:val="16"/>
        </w:rPr>
        <w:t xml:space="preserve"> Colonoscopy procedures as a group may include investigations for reasons other than colorectal cancer including e.g. inflammatory bowel disease and post-polypectomy bleeding.</w:t>
      </w:r>
    </w:p>
  </w:footnote>
  <w:footnote w:id="16">
    <w:p w14:paraId="6D93D2F8" w14:textId="77777777" w:rsidR="004177CC" w:rsidRPr="00DB1755" w:rsidRDefault="004177CC" w:rsidP="009850D3">
      <w:pPr>
        <w:pStyle w:val="FootnoteText"/>
        <w:rPr>
          <w:color w:val="595959"/>
          <w:sz w:val="15"/>
          <w:szCs w:val="16"/>
        </w:rPr>
      </w:pPr>
      <w:r w:rsidRPr="00FF5794">
        <w:rPr>
          <w:color w:val="595959"/>
          <w:sz w:val="15"/>
          <w:szCs w:val="16"/>
        </w:rPr>
        <w:footnoteRef/>
      </w:r>
      <w:r w:rsidRPr="00FF5794">
        <w:rPr>
          <w:color w:val="595959"/>
          <w:sz w:val="15"/>
          <w:szCs w:val="16"/>
        </w:rPr>
        <w:t xml:space="preserve"> Colorectal cancer-related procedures excluded a separate item code for removal of polyp(s) procedures during colonoscopy procedures as the introduction of the separate MBS item code for this specific procedure type and data was only available from Oct 2019 onwards.</w:t>
      </w:r>
    </w:p>
  </w:footnote>
  <w:footnote w:id="17">
    <w:p w14:paraId="5B1171BF" w14:textId="77777777" w:rsidR="004177CC" w:rsidRDefault="004177CC" w:rsidP="009850D3">
      <w:pPr>
        <w:pStyle w:val="FootnoteText"/>
      </w:pPr>
      <w:r w:rsidRPr="009850D3">
        <w:rPr>
          <w:rStyle w:val="FootnoteReference"/>
          <w:vertAlign w:val="baseline"/>
        </w:rPr>
        <w:footnoteRef/>
      </w:r>
      <w:r>
        <w:t xml:space="preserve"> </w:t>
      </w:r>
      <w:r w:rsidRPr="003759D2">
        <w:rPr>
          <w:color w:val="595959"/>
          <w:sz w:val="15"/>
          <w:szCs w:val="16"/>
        </w:rPr>
        <w:t>As the num</w:t>
      </w:r>
      <w:r>
        <w:rPr>
          <w:color w:val="595959"/>
          <w:sz w:val="15"/>
          <w:szCs w:val="16"/>
        </w:rPr>
        <w:t>b</w:t>
      </w:r>
      <w:r w:rsidRPr="003759D2">
        <w:rPr>
          <w:color w:val="595959"/>
          <w:sz w:val="15"/>
          <w:szCs w:val="16"/>
        </w:rPr>
        <w:t xml:space="preserve">er of </w:t>
      </w:r>
      <w:r>
        <w:rPr>
          <w:color w:val="595959"/>
          <w:sz w:val="15"/>
          <w:szCs w:val="16"/>
        </w:rPr>
        <w:t xml:space="preserve">colonoscopy/ sigmoidoscopy </w:t>
      </w:r>
      <w:r w:rsidRPr="003759D2">
        <w:rPr>
          <w:color w:val="595959"/>
          <w:sz w:val="15"/>
          <w:szCs w:val="16"/>
        </w:rPr>
        <w:t xml:space="preserve">procedures where </w:t>
      </w:r>
      <w:r>
        <w:rPr>
          <w:color w:val="595959"/>
          <w:sz w:val="15"/>
          <w:szCs w:val="16"/>
        </w:rPr>
        <w:t xml:space="preserve">a polyp </w:t>
      </w:r>
      <w:r w:rsidRPr="003759D2">
        <w:rPr>
          <w:color w:val="595959"/>
          <w:sz w:val="15"/>
          <w:szCs w:val="16"/>
        </w:rPr>
        <w:t xml:space="preserve">has been removed is </w:t>
      </w:r>
      <w:r>
        <w:rPr>
          <w:color w:val="595959"/>
          <w:sz w:val="15"/>
          <w:szCs w:val="16"/>
        </w:rPr>
        <w:t>not known</w:t>
      </w:r>
      <w:r w:rsidRPr="003759D2">
        <w:rPr>
          <w:color w:val="595959"/>
          <w:sz w:val="15"/>
          <w:szCs w:val="16"/>
        </w:rPr>
        <w:t xml:space="preserve">, </w:t>
      </w:r>
      <w:r>
        <w:rPr>
          <w:color w:val="595959"/>
          <w:sz w:val="15"/>
          <w:szCs w:val="16"/>
        </w:rPr>
        <w:t>t</w:t>
      </w:r>
      <w:r w:rsidRPr="003759D2">
        <w:rPr>
          <w:color w:val="595959"/>
          <w:sz w:val="15"/>
          <w:szCs w:val="16"/>
        </w:rPr>
        <w:t xml:space="preserve">o avoid duplication of </w:t>
      </w:r>
      <w:r>
        <w:rPr>
          <w:color w:val="595959"/>
          <w:sz w:val="15"/>
          <w:szCs w:val="16"/>
        </w:rPr>
        <w:t>service counts</w:t>
      </w:r>
      <w:r w:rsidRPr="003759D2">
        <w:rPr>
          <w:color w:val="595959"/>
          <w:sz w:val="15"/>
          <w:szCs w:val="16"/>
        </w:rPr>
        <w:t xml:space="preserve">, </w:t>
      </w:r>
      <w:r>
        <w:rPr>
          <w:color w:val="595959"/>
          <w:sz w:val="15"/>
          <w:szCs w:val="16"/>
        </w:rPr>
        <w:t>these procedures have been included for diagnostic procedures only</w:t>
      </w:r>
      <w:r w:rsidRPr="003759D2">
        <w:rPr>
          <w:color w:val="595959"/>
          <w:sz w:val="15"/>
          <w:szCs w:val="16"/>
        </w:rPr>
        <w:t>.</w:t>
      </w:r>
    </w:p>
  </w:footnote>
  <w:footnote w:id="18">
    <w:p w14:paraId="47459DC1" w14:textId="77777777" w:rsidR="004177CC" w:rsidRPr="00DB1755" w:rsidRDefault="004177CC" w:rsidP="009850D3">
      <w:pPr>
        <w:pStyle w:val="FootnoteText"/>
        <w:rPr>
          <w:color w:val="595959"/>
          <w:sz w:val="15"/>
          <w:szCs w:val="16"/>
        </w:rPr>
      </w:pPr>
      <w:r w:rsidRPr="00DB1755">
        <w:rPr>
          <w:color w:val="595959"/>
          <w:sz w:val="15"/>
        </w:rPr>
        <w:footnoteRef/>
      </w:r>
      <w:r w:rsidRPr="00DB1755">
        <w:rPr>
          <w:color w:val="595959"/>
          <w:sz w:val="15"/>
          <w:szCs w:val="16"/>
        </w:rPr>
        <w:t xml:space="preserve"> No specific MBS item code is available for DRE procedures. These are performed by the GP or specialist (e.g. urologist) and are coded as part of the professional attendance service. </w:t>
      </w:r>
    </w:p>
  </w:footnote>
  <w:footnote w:id="19">
    <w:p w14:paraId="54C1C822" w14:textId="77777777" w:rsidR="004177CC" w:rsidRPr="00DB1755" w:rsidRDefault="004177CC" w:rsidP="009850D3">
      <w:pPr>
        <w:pStyle w:val="FootnoteText"/>
        <w:rPr>
          <w:color w:val="595959"/>
          <w:sz w:val="15"/>
          <w:szCs w:val="16"/>
        </w:rPr>
      </w:pPr>
      <w:r w:rsidRPr="00DB1755">
        <w:rPr>
          <w:color w:val="595959"/>
          <w:sz w:val="15"/>
          <w:szCs w:val="16"/>
        </w:rPr>
        <w:footnoteRef/>
      </w:r>
      <w:r w:rsidRPr="00DB1755">
        <w:rPr>
          <w:color w:val="595959"/>
          <w:sz w:val="15"/>
          <w:szCs w:val="16"/>
        </w:rPr>
        <w:t xml:space="preserve"> General ultrasound codes are available for abdominal, ureteric, and pelvic ultrasounds but prostate-specific ultrasound codes are limited to monitoring of current prostatic disease rather than diagnostic.</w:t>
      </w:r>
      <w:r>
        <w:rPr>
          <w:color w:val="595959"/>
          <w:sz w:val="15"/>
          <w:szCs w:val="16"/>
        </w:rPr>
        <w:t xml:space="preserve"> </w:t>
      </w:r>
    </w:p>
  </w:footnote>
  <w:footnote w:id="20">
    <w:p w14:paraId="2927A415" w14:textId="77777777" w:rsidR="004177CC" w:rsidRPr="006B2C13" w:rsidRDefault="004177CC" w:rsidP="00742820">
      <w:pPr>
        <w:pStyle w:val="FootnoteText"/>
        <w:rPr>
          <w:color w:val="595959"/>
          <w:sz w:val="15"/>
          <w:szCs w:val="16"/>
        </w:rPr>
      </w:pPr>
      <w:r w:rsidRPr="006B2C13">
        <w:rPr>
          <w:color w:val="595959"/>
          <w:sz w:val="15"/>
        </w:rPr>
        <w:footnoteRef/>
      </w:r>
      <w:r w:rsidRPr="006B2C13">
        <w:rPr>
          <w:color w:val="595959"/>
          <w:sz w:val="15"/>
          <w:szCs w:val="16"/>
        </w:rPr>
        <w:t xml:space="preserve"> Expected estimates from the linear regression of yearly services in 2017, 2018 and 2019. Data for 2019 is used when data for previous period/s are not available.</w:t>
      </w:r>
    </w:p>
  </w:footnote>
  <w:footnote w:id="21">
    <w:p w14:paraId="70CE8A66" w14:textId="77777777" w:rsidR="004177CC" w:rsidRDefault="004177CC" w:rsidP="00742820">
      <w:pPr>
        <w:pStyle w:val="FootnoteText"/>
      </w:pPr>
      <w:r w:rsidRPr="006B2C13">
        <w:rPr>
          <w:color w:val="595959"/>
          <w:sz w:val="15"/>
          <w:szCs w:val="16"/>
        </w:rPr>
        <w:footnoteRef/>
      </w:r>
      <w:r w:rsidRPr="006B2C13">
        <w:rPr>
          <w:color w:val="595959"/>
          <w:sz w:val="15"/>
          <w:szCs w:val="16"/>
        </w:rPr>
        <w:t xml:space="preserve"> Grouping includes Malignant Melanoma, Appendageal Carcinoma, Malignant Fibrous Tumour of Skin, Merkel Cell Carcinoma of Skin, or Hutchinson's Melanotic Freckle)</w:t>
      </w:r>
      <w:r>
        <w:rPr>
          <w:color w:val="595959"/>
          <w:sz w:val="15"/>
          <w:szCs w:val="16"/>
        </w:rPr>
        <w:t>.</w:t>
      </w:r>
      <w:r w:rsidRPr="00B93C53">
        <w:rPr>
          <w:color w:val="595959"/>
          <w:sz w:val="15"/>
          <w:szCs w:val="16"/>
        </w:rPr>
        <w:t xml:space="preserve"> </w:t>
      </w:r>
      <w:r w:rsidRPr="00EF69E1">
        <w:rPr>
          <w:color w:val="595959"/>
          <w:sz w:val="15"/>
          <w:szCs w:val="16"/>
        </w:rPr>
        <w:t>These procedures are reimbursed where “the excised specimen is sent for histological examination; and malignancy is confirmed from the excised specimen or previous biopsy”. Therefore</w:t>
      </w:r>
      <w:r>
        <w:rPr>
          <w:color w:val="595959"/>
          <w:sz w:val="15"/>
          <w:szCs w:val="16"/>
        </w:rPr>
        <w:t>,</w:t>
      </w:r>
      <w:r w:rsidRPr="00EF69E1">
        <w:rPr>
          <w:color w:val="595959"/>
          <w:sz w:val="15"/>
          <w:szCs w:val="16"/>
        </w:rPr>
        <w:t xml:space="preserve"> use of these item codes by service providers represent confirmed diagnosis and treatment procedures for these cancer types.</w:t>
      </w:r>
    </w:p>
    <w:p w14:paraId="3EA063EA" w14:textId="77777777" w:rsidR="004177CC" w:rsidRDefault="004177CC" w:rsidP="00742820">
      <w:pPr>
        <w:pStyle w:val="FootnoteText"/>
      </w:pPr>
    </w:p>
  </w:footnote>
  <w:footnote w:id="22">
    <w:p w14:paraId="2A25E166" w14:textId="77777777" w:rsidR="004177CC" w:rsidRPr="006B2C13" w:rsidRDefault="004177CC" w:rsidP="00742820">
      <w:pPr>
        <w:pStyle w:val="FootnoteText"/>
        <w:rPr>
          <w:color w:val="595959"/>
          <w:sz w:val="15"/>
          <w:szCs w:val="16"/>
        </w:rPr>
      </w:pPr>
      <w:r w:rsidRPr="006B2C13">
        <w:rPr>
          <w:color w:val="595959"/>
          <w:sz w:val="15"/>
          <w:szCs w:val="16"/>
        </w:rPr>
        <w:footnoteRef/>
      </w:r>
      <w:r w:rsidRPr="006B2C13">
        <w:rPr>
          <w:color w:val="595959"/>
          <w:sz w:val="15"/>
          <w:szCs w:val="16"/>
        </w:rPr>
        <w:t xml:space="preserve"> Gynaecological cancers include procedures for uterine, ovarian, vaginal, vulval and cervical cancers</w:t>
      </w:r>
    </w:p>
  </w:footnote>
  <w:footnote w:id="23">
    <w:p w14:paraId="0A44D449" w14:textId="77777777" w:rsidR="004177CC" w:rsidRPr="003759D2" w:rsidRDefault="004177CC" w:rsidP="00953160">
      <w:pPr>
        <w:pStyle w:val="FootnoteText"/>
        <w:rPr>
          <w:color w:val="595959"/>
          <w:sz w:val="15"/>
          <w:szCs w:val="16"/>
        </w:rPr>
      </w:pPr>
      <w:r>
        <w:rPr>
          <w:rStyle w:val="FootnoteReference"/>
        </w:rPr>
        <w:footnoteRef/>
      </w:r>
      <w:r>
        <w:t xml:space="preserve"> </w:t>
      </w:r>
      <w:bookmarkStart w:id="99" w:name="_Hlk83136154"/>
      <w:r w:rsidRPr="003759D2">
        <w:rPr>
          <w:color w:val="595959"/>
          <w:sz w:val="15"/>
          <w:szCs w:val="16"/>
        </w:rPr>
        <w:t>As the num</w:t>
      </w:r>
      <w:r>
        <w:rPr>
          <w:color w:val="595959"/>
          <w:sz w:val="15"/>
          <w:szCs w:val="16"/>
        </w:rPr>
        <w:t>b</w:t>
      </w:r>
      <w:r w:rsidRPr="003759D2">
        <w:rPr>
          <w:color w:val="595959"/>
          <w:sz w:val="15"/>
          <w:szCs w:val="16"/>
        </w:rPr>
        <w:t xml:space="preserve">er of </w:t>
      </w:r>
      <w:r>
        <w:rPr>
          <w:color w:val="595959"/>
          <w:sz w:val="15"/>
          <w:szCs w:val="16"/>
        </w:rPr>
        <w:t xml:space="preserve">colonoscopy/ sigmoidoscopy </w:t>
      </w:r>
      <w:r w:rsidRPr="003759D2">
        <w:rPr>
          <w:color w:val="595959"/>
          <w:sz w:val="15"/>
          <w:szCs w:val="16"/>
        </w:rPr>
        <w:t xml:space="preserve">procedures where </w:t>
      </w:r>
      <w:r>
        <w:rPr>
          <w:color w:val="595959"/>
          <w:sz w:val="15"/>
          <w:szCs w:val="16"/>
        </w:rPr>
        <w:t xml:space="preserve">a polyp </w:t>
      </w:r>
      <w:r w:rsidRPr="003759D2">
        <w:rPr>
          <w:color w:val="595959"/>
          <w:sz w:val="15"/>
          <w:szCs w:val="16"/>
        </w:rPr>
        <w:t xml:space="preserve">has been removed is </w:t>
      </w:r>
      <w:r>
        <w:rPr>
          <w:color w:val="595959"/>
          <w:sz w:val="15"/>
          <w:szCs w:val="16"/>
        </w:rPr>
        <w:t>not known</w:t>
      </w:r>
      <w:r w:rsidRPr="003759D2">
        <w:rPr>
          <w:color w:val="595959"/>
          <w:sz w:val="15"/>
          <w:szCs w:val="16"/>
        </w:rPr>
        <w:t xml:space="preserve">, </w:t>
      </w:r>
      <w:r>
        <w:rPr>
          <w:color w:val="595959"/>
          <w:sz w:val="15"/>
          <w:szCs w:val="16"/>
        </w:rPr>
        <w:t>t</w:t>
      </w:r>
      <w:r w:rsidRPr="003759D2">
        <w:rPr>
          <w:color w:val="595959"/>
          <w:sz w:val="15"/>
          <w:szCs w:val="16"/>
        </w:rPr>
        <w:t xml:space="preserve">o avoid duplication of </w:t>
      </w:r>
      <w:r>
        <w:rPr>
          <w:color w:val="595959"/>
          <w:sz w:val="15"/>
          <w:szCs w:val="16"/>
        </w:rPr>
        <w:t>service counts</w:t>
      </w:r>
      <w:r w:rsidRPr="003759D2">
        <w:rPr>
          <w:color w:val="595959"/>
          <w:sz w:val="15"/>
          <w:szCs w:val="16"/>
        </w:rPr>
        <w:t xml:space="preserve">, </w:t>
      </w:r>
      <w:r>
        <w:rPr>
          <w:color w:val="595959"/>
          <w:sz w:val="15"/>
          <w:szCs w:val="16"/>
        </w:rPr>
        <w:t>these procedures have been included for diagnostic procedures only</w:t>
      </w:r>
      <w:r w:rsidRPr="003759D2">
        <w:rPr>
          <w:color w:val="595959"/>
          <w:sz w:val="15"/>
          <w:szCs w:val="16"/>
        </w:rPr>
        <w:t>.</w:t>
      </w:r>
      <w:bookmarkEnd w:id="99"/>
    </w:p>
  </w:footnote>
  <w:footnote w:id="24">
    <w:p w14:paraId="0D9099EA" w14:textId="77777777" w:rsidR="004177CC" w:rsidRPr="009F502B" w:rsidRDefault="004177CC" w:rsidP="00953160">
      <w:pPr>
        <w:pStyle w:val="FootnoteText"/>
        <w:rPr>
          <w:rStyle w:val="FootnoteReference"/>
        </w:rPr>
      </w:pPr>
      <w:r w:rsidRPr="006B2C13">
        <w:rPr>
          <w:color w:val="595959"/>
          <w:sz w:val="15"/>
          <w:szCs w:val="16"/>
        </w:rPr>
        <w:footnoteRef/>
      </w:r>
      <w:r w:rsidRPr="006B2C13">
        <w:rPr>
          <w:color w:val="595959"/>
          <w:sz w:val="15"/>
          <w:szCs w:val="16"/>
        </w:rPr>
        <w:t xml:space="preserve"> Grouping includes Malignant Melanoma, Appendageal Carcinoma, Malignant Fibrous Tumour of Skin, Merkel Cell Carcinoma of Skin, or Hutchinson's Melanotic Freckle).</w:t>
      </w:r>
      <w:r w:rsidRPr="009F502B">
        <w:rPr>
          <w:rStyle w:val="FootnoteReference"/>
        </w:rPr>
        <w:t xml:space="preserve"> </w:t>
      </w:r>
    </w:p>
  </w:footnote>
  <w:footnote w:id="25">
    <w:p w14:paraId="7F6D4B9E" w14:textId="77777777" w:rsidR="004177CC" w:rsidRDefault="004177CC" w:rsidP="00953160">
      <w:pPr>
        <w:pStyle w:val="FootnoteText"/>
      </w:pPr>
      <w:r w:rsidRPr="00196059">
        <w:rPr>
          <w:color w:val="595959"/>
          <w:sz w:val="15"/>
          <w:szCs w:val="16"/>
        </w:rPr>
        <w:footnoteRef/>
      </w:r>
      <w:r w:rsidRPr="00196059">
        <w:rPr>
          <w:color w:val="595959"/>
          <w:sz w:val="15"/>
          <w:szCs w:val="16"/>
        </w:rPr>
        <w:t xml:space="preserve"> PSA: Prostate specific antigen</w:t>
      </w:r>
    </w:p>
  </w:footnote>
  <w:footnote w:id="26">
    <w:p w14:paraId="1EFAF3A5" w14:textId="77777777" w:rsidR="004177CC" w:rsidRPr="00A9018F" w:rsidRDefault="004177CC" w:rsidP="00953160">
      <w:pPr>
        <w:pStyle w:val="FootnoteText"/>
        <w:rPr>
          <w:szCs w:val="16"/>
          <w:lang w:val="en-US"/>
        </w:rPr>
      </w:pPr>
      <w:r w:rsidRPr="006B2C13">
        <w:rPr>
          <w:color w:val="595959"/>
          <w:sz w:val="15"/>
        </w:rPr>
        <w:footnoteRef/>
      </w:r>
      <w:r w:rsidRPr="006B2C13">
        <w:rPr>
          <w:color w:val="595959"/>
          <w:sz w:val="15"/>
          <w:szCs w:val="16"/>
        </w:rPr>
        <w:t xml:space="preserve"> EBRT delivery includes standard LINAC delivery as well as image-guided intensity modulated radiotherapy (IMRT) – services are reimbursed as fractions and without linkage across services, it is difficult to understand patterns of delivery.</w:t>
      </w:r>
      <w:r>
        <w:rPr>
          <w:szCs w:val="16"/>
        </w:rPr>
        <w:t xml:space="preserve"> </w:t>
      </w:r>
    </w:p>
  </w:footnote>
  <w:footnote w:id="27">
    <w:p w14:paraId="1C61D58A" w14:textId="77777777" w:rsidR="004177CC" w:rsidRDefault="004177CC" w:rsidP="009210B8">
      <w:pPr>
        <w:pStyle w:val="FootnoteText"/>
      </w:pPr>
      <w:r w:rsidRPr="008E426F">
        <w:rPr>
          <w:color w:val="595959"/>
          <w:sz w:val="15"/>
          <w:szCs w:val="16"/>
        </w:rPr>
        <w:footnoteRef/>
      </w:r>
      <w:r w:rsidRPr="008E426F">
        <w:rPr>
          <w:color w:val="595959"/>
          <w:sz w:val="15"/>
          <w:szCs w:val="16"/>
        </w:rPr>
        <w:t xml:space="preserve"> </w:t>
      </w:r>
      <w:r w:rsidRPr="00DB1755">
        <w:rPr>
          <w:color w:val="595959"/>
          <w:sz w:val="15"/>
          <w:szCs w:val="16"/>
        </w:rPr>
        <w:t xml:space="preserve">The MBS data analysed in this report do not include procedures for </w:t>
      </w:r>
      <w:r>
        <w:rPr>
          <w:color w:val="595959"/>
          <w:sz w:val="15"/>
          <w:szCs w:val="16"/>
        </w:rPr>
        <w:t xml:space="preserve">screening </w:t>
      </w:r>
      <w:r w:rsidRPr="00DB1755">
        <w:rPr>
          <w:color w:val="595959"/>
          <w:sz w:val="15"/>
          <w:szCs w:val="16"/>
        </w:rPr>
        <w:t>mammograms</w:t>
      </w:r>
      <w:r>
        <w:rPr>
          <w:color w:val="595959"/>
          <w:sz w:val="15"/>
          <w:szCs w:val="16"/>
        </w:rPr>
        <w:t xml:space="preserve"> for breast cancer</w:t>
      </w:r>
      <w:r w:rsidRPr="00DB1755">
        <w:rPr>
          <w:color w:val="595959"/>
          <w:sz w:val="15"/>
          <w:szCs w:val="16"/>
        </w:rPr>
        <w:t xml:space="preserve">, </w:t>
      </w:r>
      <w:r w:rsidRPr="002046F8">
        <w:rPr>
          <w:color w:val="595959"/>
          <w:sz w:val="15"/>
          <w:szCs w:val="16"/>
        </w:rPr>
        <w:t>faecal occult blood test (FOBT)</w:t>
      </w:r>
      <w:r>
        <w:rPr>
          <w:color w:val="595959"/>
          <w:sz w:val="15"/>
          <w:szCs w:val="16"/>
        </w:rPr>
        <w:t xml:space="preserve"> </w:t>
      </w:r>
      <w:r w:rsidRPr="00DB1755">
        <w:rPr>
          <w:color w:val="595959"/>
          <w:sz w:val="15"/>
          <w:szCs w:val="16"/>
        </w:rPr>
        <w:t xml:space="preserve">screening for cancer of the bowel, or </w:t>
      </w:r>
      <w:r w:rsidRPr="00500F08">
        <w:rPr>
          <w:color w:val="595959"/>
          <w:sz w:val="15"/>
          <w:szCs w:val="16"/>
        </w:rPr>
        <w:t>cervical screening test for human papillomavirus (HPV)</w:t>
      </w:r>
      <w:r w:rsidRPr="00DB1755">
        <w:rPr>
          <w:color w:val="595959"/>
          <w:sz w:val="15"/>
          <w:szCs w:val="16"/>
        </w:rPr>
        <w:t xml:space="preserve"> or complementary services undertaken within the public sector.</w:t>
      </w:r>
    </w:p>
  </w:footnote>
  <w:footnote w:id="28">
    <w:p w14:paraId="7049C561" w14:textId="77777777" w:rsidR="004177CC" w:rsidRDefault="004177CC" w:rsidP="009210B8">
      <w:pPr>
        <w:pStyle w:val="FootnoteText"/>
      </w:pPr>
      <w:r w:rsidRPr="00DC1B2B">
        <w:rPr>
          <w:color w:val="595959"/>
          <w:sz w:val="15"/>
          <w:szCs w:val="16"/>
        </w:rPr>
        <w:footnoteRef/>
      </w:r>
      <w:r w:rsidRPr="00DC1B2B">
        <w:rPr>
          <w:color w:val="595959"/>
          <w:sz w:val="15"/>
          <w:szCs w:val="16"/>
        </w:rPr>
        <w:t xml:space="preserve"> </w:t>
      </w:r>
      <w:r>
        <w:rPr>
          <w:color w:val="595959"/>
          <w:sz w:val="15"/>
          <w:szCs w:val="16"/>
        </w:rPr>
        <w:t>D</w:t>
      </w:r>
      <w:r w:rsidRPr="00B168E1">
        <w:rPr>
          <w:color w:val="595959"/>
          <w:sz w:val="15"/>
          <w:szCs w:val="16"/>
        </w:rPr>
        <w:t>iagnostic procedure</w:t>
      </w:r>
      <w:r>
        <w:rPr>
          <w:color w:val="595959"/>
          <w:sz w:val="15"/>
          <w:szCs w:val="16"/>
        </w:rPr>
        <w:t>s</w:t>
      </w:r>
      <w:r w:rsidRPr="00B168E1">
        <w:rPr>
          <w:color w:val="595959"/>
          <w:sz w:val="15"/>
          <w:szCs w:val="16"/>
        </w:rPr>
        <w:t xml:space="preserve"> </w:t>
      </w:r>
      <w:r>
        <w:rPr>
          <w:color w:val="595959"/>
          <w:sz w:val="15"/>
          <w:szCs w:val="16"/>
        </w:rPr>
        <w:t>used for detection of stomach and pancreatic</w:t>
      </w:r>
      <w:r w:rsidRPr="00B168E1">
        <w:rPr>
          <w:color w:val="595959"/>
          <w:sz w:val="15"/>
          <w:szCs w:val="16"/>
        </w:rPr>
        <w:t xml:space="preserve"> </w:t>
      </w:r>
      <w:r>
        <w:rPr>
          <w:color w:val="595959"/>
          <w:sz w:val="15"/>
          <w:szCs w:val="16"/>
        </w:rPr>
        <w:t xml:space="preserve">cancers </w:t>
      </w:r>
      <w:r w:rsidRPr="00B168E1">
        <w:rPr>
          <w:color w:val="595959"/>
          <w:sz w:val="15"/>
          <w:szCs w:val="16"/>
        </w:rPr>
        <w:t xml:space="preserve">may also be used </w:t>
      </w:r>
      <w:r>
        <w:rPr>
          <w:color w:val="595959"/>
          <w:sz w:val="15"/>
          <w:szCs w:val="16"/>
        </w:rPr>
        <w:t xml:space="preserve">as diagnostic procedures for detecting </w:t>
      </w:r>
      <w:r w:rsidRPr="00B168E1">
        <w:rPr>
          <w:color w:val="595959"/>
          <w:sz w:val="15"/>
          <w:szCs w:val="16"/>
        </w:rPr>
        <w:t>oesophageal cancer</w:t>
      </w:r>
      <w:r>
        <w:rPr>
          <w:color w:val="595959"/>
          <w:sz w:val="15"/>
          <w:szCs w:val="16"/>
        </w:rPr>
        <w:t>s</w:t>
      </w:r>
      <w:r w:rsidRPr="00B168E1">
        <w:rPr>
          <w:color w:val="595959"/>
          <w:sz w:val="15"/>
          <w:szCs w:val="16"/>
        </w:rPr>
        <w:t>.</w:t>
      </w:r>
    </w:p>
  </w:footnote>
  <w:footnote w:id="29">
    <w:p w14:paraId="5926078F" w14:textId="77777777" w:rsidR="004177CC" w:rsidRDefault="004177CC" w:rsidP="009210B8">
      <w:pPr>
        <w:pStyle w:val="FootnoteText"/>
      </w:pPr>
      <w:r w:rsidRPr="008E426F">
        <w:rPr>
          <w:color w:val="595959"/>
          <w:sz w:val="15"/>
          <w:szCs w:val="16"/>
        </w:rPr>
        <w:footnoteRef/>
      </w:r>
      <w:r w:rsidRPr="008E426F">
        <w:rPr>
          <w:color w:val="595959"/>
          <w:sz w:val="15"/>
          <w:szCs w:val="16"/>
        </w:rPr>
        <w:t xml:space="preserve"> </w:t>
      </w:r>
      <w:r>
        <w:rPr>
          <w:color w:val="595959"/>
          <w:sz w:val="15"/>
          <w:szCs w:val="16"/>
        </w:rPr>
        <w:t xml:space="preserve">Endometrial biopsy for suspected malignancy for the detection of uterine cancer </w:t>
      </w:r>
      <w:r w:rsidRPr="006B4217">
        <w:rPr>
          <w:color w:val="595959"/>
          <w:sz w:val="15"/>
          <w:szCs w:val="16"/>
        </w:rPr>
        <w:t>may also be used for diagnosing other gynaecological cancers</w:t>
      </w:r>
      <w:r>
        <w:rPr>
          <w:color w:val="595959"/>
          <w:sz w:val="15"/>
          <w:szCs w:val="16"/>
        </w:rPr>
        <w:t>.</w:t>
      </w:r>
    </w:p>
  </w:footnote>
  <w:footnote w:id="30">
    <w:p w14:paraId="22FCD364" w14:textId="77777777" w:rsidR="004177CC" w:rsidRPr="00DC1B2B" w:rsidRDefault="004177CC" w:rsidP="009210B8">
      <w:pPr>
        <w:pStyle w:val="FootnoteText"/>
        <w:rPr>
          <w:color w:val="595959"/>
          <w:sz w:val="15"/>
          <w:szCs w:val="16"/>
        </w:rPr>
      </w:pPr>
      <w:r w:rsidRPr="00DC1B2B">
        <w:rPr>
          <w:color w:val="595959"/>
          <w:sz w:val="15"/>
          <w:szCs w:val="16"/>
        </w:rPr>
        <w:footnoteRef/>
      </w:r>
      <w:r w:rsidRPr="00DC1B2B">
        <w:rPr>
          <w:color w:val="595959"/>
          <w:sz w:val="15"/>
          <w:szCs w:val="16"/>
        </w:rPr>
        <w:t xml:space="preserve"> Colorectal cancer-related procedures excluded a separate item code for removal of polyp(s) procedures during colonoscopy procedures as the introduction of the separate MBS item code for this specific procedure type and data was only available from Oct 2019 onwards.</w:t>
      </w:r>
    </w:p>
  </w:footnote>
  <w:footnote w:id="31">
    <w:p w14:paraId="58466005" w14:textId="77777777" w:rsidR="004177CC" w:rsidRPr="00DC1B2B" w:rsidRDefault="004177CC" w:rsidP="009210B8">
      <w:pPr>
        <w:pStyle w:val="FootnoteText"/>
        <w:rPr>
          <w:color w:val="595959"/>
          <w:sz w:val="15"/>
          <w:szCs w:val="16"/>
        </w:rPr>
      </w:pPr>
      <w:r w:rsidRPr="00DC1B2B">
        <w:rPr>
          <w:color w:val="595959"/>
          <w:sz w:val="15"/>
          <w:szCs w:val="16"/>
        </w:rPr>
        <w:footnoteRef/>
      </w:r>
      <w:r w:rsidRPr="00DC1B2B">
        <w:rPr>
          <w:color w:val="595959"/>
          <w:sz w:val="15"/>
          <w:szCs w:val="16"/>
        </w:rPr>
        <w:t xml:space="preserve"> Grouping includes Malignant Melanoma, Appendageal Carcinoma, Malignant Fibrous Tumour of Skin, Merkel Cell Carcinoma of Skin, or Hutchinson's Melanotic Freckle</w:t>
      </w:r>
    </w:p>
  </w:footnote>
  <w:footnote w:id="32">
    <w:p w14:paraId="1EDE7E9A" w14:textId="77777777" w:rsidR="004177CC" w:rsidRPr="006B2C13" w:rsidRDefault="004177CC" w:rsidP="009210B8">
      <w:pPr>
        <w:pStyle w:val="FootnoteText"/>
        <w:rPr>
          <w:color w:val="595959"/>
          <w:sz w:val="15"/>
          <w:szCs w:val="16"/>
        </w:rPr>
      </w:pPr>
      <w:r w:rsidRPr="006B2C13">
        <w:rPr>
          <w:color w:val="595959"/>
          <w:sz w:val="15"/>
          <w:szCs w:val="16"/>
        </w:rPr>
        <w:footnoteRef/>
      </w:r>
      <w:r w:rsidRPr="006B2C13">
        <w:rPr>
          <w:color w:val="595959"/>
          <w:sz w:val="15"/>
          <w:szCs w:val="16"/>
        </w:rPr>
        <w:t xml:space="preserve"> </w:t>
      </w:r>
      <w:r w:rsidRPr="00DB1755">
        <w:rPr>
          <w:color w:val="595959"/>
          <w:sz w:val="15"/>
          <w:szCs w:val="16"/>
        </w:rPr>
        <w:t xml:space="preserve">The MBS data analysed in this report do not include procedures for </w:t>
      </w:r>
      <w:r>
        <w:rPr>
          <w:color w:val="595959"/>
          <w:sz w:val="15"/>
          <w:szCs w:val="16"/>
        </w:rPr>
        <w:t xml:space="preserve">screening </w:t>
      </w:r>
      <w:r w:rsidRPr="00DB1755">
        <w:rPr>
          <w:color w:val="595959"/>
          <w:sz w:val="15"/>
          <w:szCs w:val="16"/>
        </w:rPr>
        <w:t>mammograms</w:t>
      </w:r>
      <w:r>
        <w:rPr>
          <w:color w:val="595959"/>
          <w:sz w:val="15"/>
          <w:szCs w:val="16"/>
        </w:rPr>
        <w:t xml:space="preserve"> for breast cancer</w:t>
      </w:r>
      <w:r w:rsidRPr="00DB1755">
        <w:rPr>
          <w:color w:val="595959"/>
          <w:sz w:val="15"/>
          <w:szCs w:val="16"/>
        </w:rPr>
        <w:t xml:space="preserve">, </w:t>
      </w:r>
      <w:r w:rsidRPr="002046F8">
        <w:rPr>
          <w:color w:val="595959"/>
          <w:sz w:val="15"/>
          <w:szCs w:val="16"/>
        </w:rPr>
        <w:t>faecal occult blood test (FOBT)</w:t>
      </w:r>
      <w:r>
        <w:rPr>
          <w:color w:val="595959"/>
          <w:sz w:val="15"/>
          <w:szCs w:val="16"/>
        </w:rPr>
        <w:t xml:space="preserve"> </w:t>
      </w:r>
      <w:r w:rsidRPr="00DB1755">
        <w:rPr>
          <w:color w:val="595959"/>
          <w:sz w:val="15"/>
          <w:szCs w:val="16"/>
        </w:rPr>
        <w:t xml:space="preserve">screening for cancer of the bowel, or </w:t>
      </w:r>
      <w:r w:rsidRPr="00500F08">
        <w:rPr>
          <w:color w:val="595959"/>
          <w:sz w:val="15"/>
          <w:szCs w:val="16"/>
        </w:rPr>
        <w:t>cervical screening test for human papillomavirus (HPV)</w:t>
      </w:r>
      <w:r w:rsidRPr="00DB1755">
        <w:rPr>
          <w:color w:val="595959"/>
          <w:sz w:val="15"/>
          <w:szCs w:val="16"/>
        </w:rPr>
        <w:t xml:space="preserve"> or complementary services undertaken within the public sector.</w:t>
      </w:r>
    </w:p>
  </w:footnote>
  <w:footnote w:id="33">
    <w:p w14:paraId="58ABAB2B" w14:textId="77777777" w:rsidR="004177CC" w:rsidRPr="006B2C13" w:rsidRDefault="004177CC" w:rsidP="009210B8">
      <w:pPr>
        <w:pStyle w:val="FootnoteText"/>
        <w:rPr>
          <w:color w:val="595959"/>
          <w:sz w:val="15"/>
          <w:szCs w:val="16"/>
        </w:rPr>
      </w:pPr>
      <w:r w:rsidRPr="006B2C13">
        <w:rPr>
          <w:color w:val="595959"/>
          <w:sz w:val="15"/>
          <w:szCs w:val="16"/>
        </w:rPr>
        <w:footnoteRef/>
      </w:r>
      <w:r w:rsidRPr="006B2C13">
        <w:rPr>
          <w:color w:val="595959"/>
          <w:sz w:val="15"/>
          <w:szCs w:val="16"/>
        </w:rPr>
        <w:t xml:space="preserve"> Expected estimates from the linear regression of yearly services in 2017, 2018 and 2019. Data for 2019 is used when previous data not available.</w:t>
      </w:r>
    </w:p>
  </w:footnote>
  <w:footnote w:id="34">
    <w:p w14:paraId="4CD26690" w14:textId="77777777" w:rsidR="004177CC" w:rsidRPr="006B2C13" w:rsidRDefault="004177CC" w:rsidP="009210B8">
      <w:pPr>
        <w:pStyle w:val="FootnoteText"/>
        <w:rPr>
          <w:color w:val="595959"/>
          <w:sz w:val="15"/>
          <w:szCs w:val="16"/>
        </w:rPr>
      </w:pPr>
      <w:r w:rsidRPr="006B2C13">
        <w:rPr>
          <w:color w:val="595959"/>
          <w:sz w:val="15"/>
          <w:szCs w:val="16"/>
        </w:rPr>
        <w:footnoteRef/>
      </w:r>
      <w:r w:rsidRPr="006B2C13">
        <w:rPr>
          <w:color w:val="595959"/>
          <w:sz w:val="15"/>
          <w:szCs w:val="16"/>
        </w:rPr>
        <w:t xml:space="preserve"> Colorectal cancer-related procedures excluded procedures for removal of polyps during colonoscopy procedures as the MBS item code was newly added for this specific procedure type and data was only available from Oct 2019 onwards.</w:t>
      </w:r>
    </w:p>
  </w:footnote>
  <w:footnote w:id="35">
    <w:p w14:paraId="3EB58944" w14:textId="77777777" w:rsidR="004177CC" w:rsidRPr="006B2C13" w:rsidRDefault="004177CC" w:rsidP="009210B8">
      <w:pPr>
        <w:pStyle w:val="FootnoteText"/>
        <w:rPr>
          <w:color w:val="595959"/>
          <w:sz w:val="15"/>
          <w:szCs w:val="16"/>
        </w:rPr>
      </w:pPr>
      <w:r w:rsidRPr="006B2C13">
        <w:rPr>
          <w:color w:val="595959"/>
          <w:sz w:val="15"/>
          <w:szCs w:val="16"/>
        </w:rPr>
        <w:footnoteRef/>
      </w:r>
      <w:r w:rsidRPr="006B2C13">
        <w:rPr>
          <w:color w:val="595959"/>
          <w:sz w:val="15"/>
          <w:szCs w:val="16"/>
        </w:rPr>
        <w:t xml:space="preserve"> MRI scan for detection of prostate cancer data available from July 2018 onwards.</w:t>
      </w:r>
    </w:p>
  </w:footnote>
  <w:footnote w:id="36">
    <w:p w14:paraId="555FBF35" w14:textId="77777777" w:rsidR="004177CC" w:rsidRPr="008E426F" w:rsidRDefault="004177CC" w:rsidP="009210B8">
      <w:pPr>
        <w:pStyle w:val="FootnoteText"/>
        <w:rPr>
          <w:color w:val="595959"/>
          <w:sz w:val="15"/>
          <w:szCs w:val="16"/>
        </w:rPr>
      </w:pPr>
      <w:r w:rsidRPr="006B2C13">
        <w:rPr>
          <w:color w:val="595959"/>
          <w:sz w:val="15"/>
          <w:szCs w:val="16"/>
        </w:rPr>
        <w:footnoteRef/>
      </w:r>
      <w:r w:rsidRPr="006B2C13">
        <w:rPr>
          <w:color w:val="595959"/>
          <w:sz w:val="15"/>
          <w:szCs w:val="16"/>
        </w:rPr>
        <w:t xml:space="preserve"> Data for whole body PET study for suspected gastro-entero-pancreatic neuroendocrine tumour from May 2018.</w:t>
      </w:r>
    </w:p>
  </w:footnote>
  <w:footnote w:id="37">
    <w:p w14:paraId="5537355C" w14:textId="77777777" w:rsidR="004177CC" w:rsidRPr="008E426F" w:rsidRDefault="004177CC" w:rsidP="009210B8">
      <w:pPr>
        <w:pStyle w:val="FootnoteText"/>
        <w:rPr>
          <w:color w:val="595959"/>
          <w:sz w:val="15"/>
          <w:szCs w:val="16"/>
        </w:rPr>
      </w:pPr>
      <w:r w:rsidRPr="008E426F">
        <w:rPr>
          <w:color w:val="595959"/>
          <w:sz w:val="15"/>
          <w:szCs w:val="16"/>
        </w:rPr>
        <w:footnoteRef/>
      </w:r>
      <w:r w:rsidRPr="008E426F">
        <w:rPr>
          <w:color w:val="595959"/>
          <w:sz w:val="15"/>
          <w:szCs w:val="16"/>
        </w:rPr>
        <w:t xml:space="preserve"> </w:t>
      </w:r>
      <w:r>
        <w:rPr>
          <w:color w:val="595959"/>
          <w:sz w:val="15"/>
          <w:szCs w:val="16"/>
        </w:rPr>
        <w:t>D</w:t>
      </w:r>
      <w:r w:rsidRPr="00B168E1">
        <w:rPr>
          <w:color w:val="595959"/>
          <w:sz w:val="15"/>
          <w:szCs w:val="16"/>
        </w:rPr>
        <w:t>iagnostic procedure</w:t>
      </w:r>
      <w:r>
        <w:rPr>
          <w:color w:val="595959"/>
          <w:sz w:val="15"/>
          <w:szCs w:val="16"/>
        </w:rPr>
        <w:t>s</w:t>
      </w:r>
      <w:r w:rsidRPr="00B168E1">
        <w:rPr>
          <w:color w:val="595959"/>
          <w:sz w:val="15"/>
          <w:szCs w:val="16"/>
        </w:rPr>
        <w:t xml:space="preserve"> </w:t>
      </w:r>
      <w:r>
        <w:rPr>
          <w:color w:val="595959"/>
          <w:sz w:val="15"/>
          <w:szCs w:val="16"/>
        </w:rPr>
        <w:t>used for detection of stomach and pancreatic</w:t>
      </w:r>
      <w:r w:rsidRPr="00B168E1">
        <w:rPr>
          <w:color w:val="595959"/>
          <w:sz w:val="15"/>
          <w:szCs w:val="16"/>
        </w:rPr>
        <w:t xml:space="preserve"> </w:t>
      </w:r>
      <w:r>
        <w:rPr>
          <w:color w:val="595959"/>
          <w:sz w:val="15"/>
          <w:szCs w:val="16"/>
        </w:rPr>
        <w:t xml:space="preserve">cancers </w:t>
      </w:r>
      <w:r w:rsidRPr="00B168E1">
        <w:rPr>
          <w:color w:val="595959"/>
          <w:sz w:val="15"/>
          <w:szCs w:val="16"/>
        </w:rPr>
        <w:t xml:space="preserve">may also be used </w:t>
      </w:r>
      <w:r>
        <w:rPr>
          <w:color w:val="595959"/>
          <w:sz w:val="15"/>
          <w:szCs w:val="16"/>
        </w:rPr>
        <w:t xml:space="preserve">as diagnostic procedures for detecting </w:t>
      </w:r>
      <w:r w:rsidRPr="00B168E1">
        <w:rPr>
          <w:color w:val="595959"/>
          <w:sz w:val="15"/>
          <w:szCs w:val="16"/>
        </w:rPr>
        <w:t>oesophageal cancer.</w:t>
      </w:r>
    </w:p>
  </w:footnote>
  <w:footnote w:id="38">
    <w:p w14:paraId="4206F3D9" w14:textId="77777777" w:rsidR="004177CC" w:rsidRDefault="004177CC" w:rsidP="009210B8">
      <w:pPr>
        <w:pStyle w:val="FootnoteText"/>
      </w:pPr>
      <w:r w:rsidRPr="008E426F">
        <w:rPr>
          <w:color w:val="595959"/>
          <w:sz w:val="15"/>
          <w:szCs w:val="16"/>
        </w:rPr>
        <w:footnoteRef/>
      </w:r>
      <w:r w:rsidRPr="008E426F">
        <w:rPr>
          <w:color w:val="595959"/>
          <w:sz w:val="15"/>
          <w:szCs w:val="16"/>
        </w:rPr>
        <w:t xml:space="preserve"> </w:t>
      </w:r>
      <w:r>
        <w:rPr>
          <w:color w:val="595959"/>
          <w:sz w:val="15"/>
          <w:szCs w:val="16"/>
        </w:rPr>
        <w:t xml:space="preserve">Endometrial biopsy for suspected malignancy for the detection of uterine cancer </w:t>
      </w:r>
      <w:r w:rsidRPr="006B4217">
        <w:rPr>
          <w:color w:val="595959"/>
          <w:sz w:val="15"/>
          <w:szCs w:val="16"/>
        </w:rPr>
        <w:t>may also be used for diagnosing other gynaecological cancers</w:t>
      </w:r>
      <w:r>
        <w:rPr>
          <w:color w:val="595959"/>
          <w:sz w:val="15"/>
          <w:szCs w:val="16"/>
        </w:rPr>
        <w:t>.</w:t>
      </w:r>
    </w:p>
  </w:footnote>
  <w:footnote w:id="39">
    <w:p w14:paraId="1FC5951D" w14:textId="77777777" w:rsidR="004177CC" w:rsidRPr="006B2C13" w:rsidRDefault="004177CC" w:rsidP="009210B8">
      <w:pPr>
        <w:pStyle w:val="FootnoteText"/>
        <w:rPr>
          <w:color w:val="595959"/>
          <w:sz w:val="15"/>
          <w:szCs w:val="16"/>
        </w:rPr>
      </w:pPr>
      <w:r w:rsidRPr="006B2C13">
        <w:rPr>
          <w:color w:val="595959"/>
          <w:sz w:val="15"/>
          <w:szCs w:val="16"/>
        </w:rPr>
        <w:footnoteRef/>
      </w:r>
      <w:r w:rsidRPr="006B2C13">
        <w:rPr>
          <w:color w:val="595959"/>
          <w:sz w:val="15"/>
          <w:szCs w:val="16"/>
        </w:rPr>
        <w:t xml:space="preserve"> The MBS data analysed in this report for therapeutic services do not include complementary services undertaken within the public sector.</w:t>
      </w:r>
    </w:p>
  </w:footnote>
  <w:footnote w:id="40">
    <w:p w14:paraId="79F645BC" w14:textId="77777777" w:rsidR="004177CC" w:rsidRPr="006B2C13" w:rsidRDefault="004177CC" w:rsidP="009210B8">
      <w:pPr>
        <w:pStyle w:val="FootnoteText"/>
        <w:rPr>
          <w:color w:val="595959"/>
          <w:sz w:val="15"/>
          <w:szCs w:val="16"/>
        </w:rPr>
      </w:pPr>
      <w:r w:rsidRPr="006B2C13">
        <w:rPr>
          <w:color w:val="595959"/>
          <w:sz w:val="15"/>
          <w:szCs w:val="16"/>
        </w:rPr>
        <w:footnoteRef/>
      </w:r>
      <w:r w:rsidRPr="006B2C13">
        <w:rPr>
          <w:color w:val="595959"/>
          <w:sz w:val="15"/>
          <w:szCs w:val="16"/>
        </w:rPr>
        <w:t xml:space="preserve"> Expected estimates from the linear regression of yearly services in 2017, 2018 and 2019. Data for 2019 is used when previous data not available.</w:t>
      </w:r>
    </w:p>
  </w:footnote>
  <w:footnote w:id="41">
    <w:p w14:paraId="77DE3315" w14:textId="77777777" w:rsidR="004177CC" w:rsidRPr="006B2C13" w:rsidRDefault="004177CC" w:rsidP="009210B8">
      <w:pPr>
        <w:pStyle w:val="FootnoteText"/>
        <w:rPr>
          <w:color w:val="595959"/>
          <w:sz w:val="15"/>
          <w:szCs w:val="16"/>
        </w:rPr>
      </w:pPr>
      <w:r w:rsidRPr="006B2C13">
        <w:rPr>
          <w:color w:val="595959"/>
          <w:sz w:val="15"/>
          <w:szCs w:val="16"/>
        </w:rPr>
        <w:footnoteRef/>
      </w:r>
      <w:r w:rsidRPr="006B2C13">
        <w:rPr>
          <w:color w:val="595959"/>
          <w:sz w:val="15"/>
          <w:szCs w:val="16"/>
        </w:rPr>
        <w:t xml:space="preserve"> Colorectal cancer-related procedures excluded procedures for removal of polyps during colonoscopy procedures as the MBS item code was newly added for this specific procedure type and data was only available from Oct 2019 onwards.</w:t>
      </w:r>
    </w:p>
  </w:footnote>
  <w:footnote w:id="42">
    <w:p w14:paraId="225A9B26" w14:textId="77777777" w:rsidR="004177CC" w:rsidRDefault="004177CC" w:rsidP="009210B8">
      <w:pPr>
        <w:pStyle w:val="FootnoteText"/>
      </w:pPr>
      <w:r w:rsidRPr="006B2C13">
        <w:rPr>
          <w:color w:val="595959"/>
          <w:sz w:val="15"/>
          <w:szCs w:val="16"/>
        </w:rPr>
        <w:footnoteRef/>
      </w:r>
      <w:r w:rsidRPr="006B2C13">
        <w:rPr>
          <w:color w:val="595959"/>
          <w:sz w:val="15"/>
          <w:szCs w:val="16"/>
        </w:rPr>
        <w:t xml:space="preserve"> Grouping includes Malignant Melanoma, Appendageal Carcinoma, Malignant Fibrous Tumour of Skin, Merkel Cell Carcinoma of Skin, or Hutchinson's Melanotic Freckle)</w:t>
      </w:r>
    </w:p>
  </w:footnote>
  <w:footnote w:id="43">
    <w:p w14:paraId="08FED7A6" w14:textId="77777777" w:rsidR="004177CC" w:rsidRPr="006B2C13" w:rsidRDefault="004177CC" w:rsidP="009210B8">
      <w:pPr>
        <w:pStyle w:val="FootnoteText"/>
        <w:rPr>
          <w:color w:val="595959"/>
          <w:sz w:val="15"/>
          <w:szCs w:val="16"/>
        </w:rPr>
      </w:pPr>
      <w:r w:rsidRPr="006B2C13">
        <w:rPr>
          <w:color w:val="595959"/>
          <w:sz w:val="15"/>
          <w:szCs w:val="16"/>
        </w:rPr>
        <w:footnoteRef/>
      </w:r>
      <w:r w:rsidRPr="006B2C13">
        <w:rPr>
          <w:color w:val="595959"/>
          <w:sz w:val="15"/>
          <w:szCs w:val="16"/>
        </w:rPr>
        <w:t xml:space="preserve"> MRI scan for assessment of prostate cancer data available from July 2018 onwards.</w:t>
      </w:r>
    </w:p>
  </w:footnote>
  <w:footnote w:id="44">
    <w:p w14:paraId="33A3C2CA" w14:textId="77777777" w:rsidR="004177CC" w:rsidRDefault="004177CC" w:rsidP="009210B8">
      <w:pPr>
        <w:pStyle w:val="FootnoteText"/>
      </w:pPr>
      <w:r w:rsidRPr="006B2C13">
        <w:rPr>
          <w:color w:val="595959"/>
          <w:sz w:val="15"/>
          <w:szCs w:val="16"/>
        </w:rPr>
        <w:footnoteRef/>
      </w:r>
      <w:r w:rsidRPr="006B2C13">
        <w:rPr>
          <w:color w:val="595959"/>
          <w:sz w:val="15"/>
          <w:szCs w:val="16"/>
        </w:rPr>
        <w:t xml:space="preserve"> Gynaecological grouping includes therapeutic procedures related to uterine, ovarian, cervical and vaginal/vulval cancers.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243B0" w14:textId="6F2E02EC" w:rsidR="004177CC" w:rsidRDefault="004177CC" w:rsidP="00270809">
    <w:pPr>
      <w:pStyle w:val="Footer"/>
      <w:tabs>
        <w:tab w:val="left" w:pos="255"/>
        <w:tab w:val="right" w:pos="364"/>
      </w:tabs>
      <w:ind w:left="0" w:firstLine="0"/>
      <w:jc w:val="right"/>
      <w:rPr>
        <w:b/>
        <w:color w:val="990000"/>
      </w:rPr>
    </w:pPr>
    <w:r w:rsidRPr="00270809">
      <w:rPr>
        <w:b/>
        <w:color w:val="990000"/>
      </w:rPr>
      <w:t>STRICTLY EMBARGOED UNTIL</w:t>
    </w:r>
  </w:p>
  <w:p w14:paraId="5333031B" w14:textId="26F09D87" w:rsidR="004177CC" w:rsidRPr="00270809" w:rsidRDefault="004177CC" w:rsidP="00270809">
    <w:pPr>
      <w:pStyle w:val="Footer"/>
      <w:tabs>
        <w:tab w:val="left" w:pos="255"/>
        <w:tab w:val="right" w:pos="364"/>
      </w:tabs>
      <w:ind w:left="0" w:firstLine="0"/>
      <w:jc w:val="right"/>
      <w:rPr>
        <w:b/>
        <w:color w:val="990000"/>
      </w:rPr>
    </w:pPr>
    <w:r>
      <w:rPr>
        <w:b/>
        <w:color w:val="990000"/>
      </w:rPr>
      <w:t>12.01am THURSDAY 30 September,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A747A" w14:textId="0DF048E7" w:rsidR="004177CC" w:rsidRPr="00780305" w:rsidRDefault="004177CC" w:rsidP="00780305">
    <w:pPr>
      <w:pStyle w:val="Header"/>
      <w:rPr>
        <w:rStyle w:val="PageNumber"/>
        <w:rFonts w:ascii="Century Gothic" w:hAnsi="Century Gothic"/>
        <w:b w:val="0"/>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69FF5" w14:textId="5629708D" w:rsidR="004177CC" w:rsidRPr="00E54531" w:rsidRDefault="004177CC" w:rsidP="00C96F38">
    <w:pPr>
      <w:pStyle w:val="Header"/>
      <w:jc w:val="right"/>
      <w:rPr>
        <w:rStyle w:val="PageNumber"/>
        <w:rFonts w:ascii="Century Gothic" w:hAnsi="Century Gothic"/>
        <w:b w:val="0"/>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502AC"/>
    <w:multiLevelType w:val="hybridMultilevel"/>
    <w:tmpl w:val="81A03866"/>
    <w:lvl w:ilvl="0" w:tplc="1F267904">
      <w:start w:val="1"/>
      <w:numFmt w:val="decimal"/>
      <w:pStyle w:val="References"/>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5E07250"/>
    <w:multiLevelType w:val="multilevel"/>
    <w:tmpl w:val="AAF286BC"/>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572"/>
        </w:tabs>
        <w:ind w:left="1572" w:hanging="720"/>
      </w:pPr>
      <w:rPr>
        <w:rFonts w:hint="default"/>
        <w:b/>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26665D7E"/>
    <w:multiLevelType w:val="hybridMultilevel"/>
    <w:tmpl w:val="2910D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2D14CA"/>
    <w:multiLevelType w:val="hybridMultilevel"/>
    <w:tmpl w:val="701C3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802087"/>
    <w:multiLevelType w:val="hybridMultilevel"/>
    <w:tmpl w:val="3856B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E45AFA"/>
    <w:multiLevelType w:val="hybridMultilevel"/>
    <w:tmpl w:val="2EE2F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ED818B3"/>
    <w:multiLevelType w:val="hybridMultilevel"/>
    <w:tmpl w:val="7E808A40"/>
    <w:lvl w:ilvl="0" w:tplc="1E863F70">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9102194"/>
    <w:multiLevelType w:val="hybridMultilevel"/>
    <w:tmpl w:val="A4108F1A"/>
    <w:lvl w:ilvl="0" w:tplc="888E3B12">
      <w:start w:val="1"/>
      <w:numFmt w:val="bullet"/>
      <w:pStyle w:val="Bullet"/>
      <w:lvlText w:val=""/>
      <w:lvlJc w:val="left"/>
      <w:pPr>
        <w:ind w:left="360" w:hanging="360"/>
      </w:pPr>
      <w:rPr>
        <w:rFonts w:ascii="Symbol" w:hAnsi="Symbol" w:hint="default"/>
        <w:color w:val="99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6"/>
  </w:num>
  <w:num w:numId="6">
    <w:abstractNumId w:val="2"/>
  </w:num>
  <w:num w:numId="7">
    <w:abstractNumId w:val="1"/>
  </w:num>
  <w:num w:numId="8">
    <w:abstractNumId w:val="1"/>
  </w:num>
  <w:num w:numId="9">
    <w:abstractNumId w:val="4"/>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hideSpellingErrors/>
  <w:hideGrammaticalErrors/>
  <w:trackRevisions/>
  <w:defaultTabStop w:val="720"/>
  <w:noPunctuationKerning/>
  <w:characterSpacingControl w:val="doNotCompress"/>
  <w:hdrShapeDefaults>
    <o:shapedefaults v:ext="edit" spidmax="2049"/>
  </w:hdrShapeDefaults>
  <w:footnotePr>
    <w:numFmt w:val="chicago"/>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EB"/>
    <w:rsid w:val="00015994"/>
    <w:rsid w:val="00023844"/>
    <w:rsid w:val="00026D72"/>
    <w:rsid w:val="00034D28"/>
    <w:rsid w:val="00037B0D"/>
    <w:rsid w:val="0004409B"/>
    <w:rsid w:val="000536F3"/>
    <w:rsid w:val="00085B6E"/>
    <w:rsid w:val="000879F4"/>
    <w:rsid w:val="00090637"/>
    <w:rsid w:val="000D590C"/>
    <w:rsid w:val="000E60E7"/>
    <w:rsid w:val="001052BB"/>
    <w:rsid w:val="00105C84"/>
    <w:rsid w:val="00125E51"/>
    <w:rsid w:val="00127506"/>
    <w:rsid w:val="001412B0"/>
    <w:rsid w:val="001549ED"/>
    <w:rsid w:val="001A57A7"/>
    <w:rsid w:val="001C0286"/>
    <w:rsid w:val="001D5F1E"/>
    <w:rsid w:val="001E7CA0"/>
    <w:rsid w:val="001F296D"/>
    <w:rsid w:val="0020147E"/>
    <w:rsid w:val="00202460"/>
    <w:rsid w:val="00206ABA"/>
    <w:rsid w:val="00206EB6"/>
    <w:rsid w:val="0021265B"/>
    <w:rsid w:val="00225E8F"/>
    <w:rsid w:val="002546DF"/>
    <w:rsid w:val="00270809"/>
    <w:rsid w:val="00283CDD"/>
    <w:rsid w:val="002F66DF"/>
    <w:rsid w:val="002F6D8F"/>
    <w:rsid w:val="00322048"/>
    <w:rsid w:val="003330FD"/>
    <w:rsid w:val="003458B1"/>
    <w:rsid w:val="003461F2"/>
    <w:rsid w:val="00353E99"/>
    <w:rsid w:val="00356AA9"/>
    <w:rsid w:val="00357E3F"/>
    <w:rsid w:val="00361443"/>
    <w:rsid w:val="003639AA"/>
    <w:rsid w:val="003665B5"/>
    <w:rsid w:val="003A6110"/>
    <w:rsid w:val="003C09BC"/>
    <w:rsid w:val="003E0A02"/>
    <w:rsid w:val="003E61BE"/>
    <w:rsid w:val="004149B4"/>
    <w:rsid w:val="0041627C"/>
    <w:rsid w:val="004162C5"/>
    <w:rsid w:val="004177CC"/>
    <w:rsid w:val="00423E72"/>
    <w:rsid w:val="00425618"/>
    <w:rsid w:val="00440D08"/>
    <w:rsid w:val="0044120B"/>
    <w:rsid w:val="00443E43"/>
    <w:rsid w:val="004528A9"/>
    <w:rsid w:val="00465E55"/>
    <w:rsid w:val="0047471F"/>
    <w:rsid w:val="00487E7D"/>
    <w:rsid w:val="00487EC1"/>
    <w:rsid w:val="00491D42"/>
    <w:rsid w:val="004924B1"/>
    <w:rsid w:val="00494569"/>
    <w:rsid w:val="004A5F7F"/>
    <w:rsid w:val="004A6D1D"/>
    <w:rsid w:val="004B6469"/>
    <w:rsid w:val="004C6E63"/>
    <w:rsid w:val="004E5645"/>
    <w:rsid w:val="004F3E26"/>
    <w:rsid w:val="005005C7"/>
    <w:rsid w:val="0050120C"/>
    <w:rsid w:val="00513687"/>
    <w:rsid w:val="005162E6"/>
    <w:rsid w:val="00517B20"/>
    <w:rsid w:val="00533EE6"/>
    <w:rsid w:val="00544365"/>
    <w:rsid w:val="00546D69"/>
    <w:rsid w:val="0055313E"/>
    <w:rsid w:val="00554488"/>
    <w:rsid w:val="00562848"/>
    <w:rsid w:val="005815BE"/>
    <w:rsid w:val="00590AD6"/>
    <w:rsid w:val="005A5F70"/>
    <w:rsid w:val="005B41C4"/>
    <w:rsid w:val="005B4A99"/>
    <w:rsid w:val="005B5667"/>
    <w:rsid w:val="005C22CC"/>
    <w:rsid w:val="005C613F"/>
    <w:rsid w:val="005C7BB3"/>
    <w:rsid w:val="005E2F7A"/>
    <w:rsid w:val="006112D0"/>
    <w:rsid w:val="006173DC"/>
    <w:rsid w:val="00623E03"/>
    <w:rsid w:val="0064197E"/>
    <w:rsid w:val="00660075"/>
    <w:rsid w:val="00671DB4"/>
    <w:rsid w:val="00680829"/>
    <w:rsid w:val="00687736"/>
    <w:rsid w:val="00691A6A"/>
    <w:rsid w:val="00695471"/>
    <w:rsid w:val="006A621C"/>
    <w:rsid w:val="006B42A6"/>
    <w:rsid w:val="006E31C3"/>
    <w:rsid w:val="0070159B"/>
    <w:rsid w:val="00702080"/>
    <w:rsid w:val="0073042C"/>
    <w:rsid w:val="00735C15"/>
    <w:rsid w:val="00742820"/>
    <w:rsid w:val="00763398"/>
    <w:rsid w:val="00764084"/>
    <w:rsid w:val="00780305"/>
    <w:rsid w:val="00780FA4"/>
    <w:rsid w:val="00794433"/>
    <w:rsid w:val="007C30FE"/>
    <w:rsid w:val="007C5105"/>
    <w:rsid w:val="007C7A9F"/>
    <w:rsid w:val="007D2C89"/>
    <w:rsid w:val="007D3CC0"/>
    <w:rsid w:val="007F4E3A"/>
    <w:rsid w:val="00811217"/>
    <w:rsid w:val="008172A2"/>
    <w:rsid w:val="0082635E"/>
    <w:rsid w:val="00834120"/>
    <w:rsid w:val="008521AA"/>
    <w:rsid w:val="00852615"/>
    <w:rsid w:val="00860D61"/>
    <w:rsid w:val="00871674"/>
    <w:rsid w:val="00875A48"/>
    <w:rsid w:val="00883098"/>
    <w:rsid w:val="008918A8"/>
    <w:rsid w:val="008D09EA"/>
    <w:rsid w:val="008D3488"/>
    <w:rsid w:val="008F1AB3"/>
    <w:rsid w:val="008F37E8"/>
    <w:rsid w:val="008F44BA"/>
    <w:rsid w:val="00902990"/>
    <w:rsid w:val="009030B6"/>
    <w:rsid w:val="00903865"/>
    <w:rsid w:val="00914671"/>
    <w:rsid w:val="009210B8"/>
    <w:rsid w:val="009301A4"/>
    <w:rsid w:val="00930D55"/>
    <w:rsid w:val="00934991"/>
    <w:rsid w:val="00937577"/>
    <w:rsid w:val="009454C8"/>
    <w:rsid w:val="00953160"/>
    <w:rsid w:val="009553CF"/>
    <w:rsid w:val="0098396A"/>
    <w:rsid w:val="009850D3"/>
    <w:rsid w:val="009A19C5"/>
    <w:rsid w:val="009A35F6"/>
    <w:rsid w:val="009A5F1A"/>
    <w:rsid w:val="009C381D"/>
    <w:rsid w:val="009C5A96"/>
    <w:rsid w:val="009D30D8"/>
    <w:rsid w:val="009E1659"/>
    <w:rsid w:val="009F2895"/>
    <w:rsid w:val="00A036E1"/>
    <w:rsid w:val="00A03A37"/>
    <w:rsid w:val="00A06D20"/>
    <w:rsid w:val="00A11B78"/>
    <w:rsid w:val="00A13570"/>
    <w:rsid w:val="00A156EB"/>
    <w:rsid w:val="00A21334"/>
    <w:rsid w:val="00A2165F"/>
    <w:rsid w:val="00A243D3"/>
    <w:rsid w:val="00A414E3"/>
    <w:rsid w:val="00A42E63"/>
    <w:rsid w:val="00A61D47"/>
    <w:rsid w:val="00A634E8"/>
    <w:rsid w:val="00A83378"/>
    <w:rsid w:val="00A93D24"/>
    <w:rsid w:val="00AA5EAB"/>
    <w:rsid w:val="00AB61A3"/>
    <w:rsid w:val="00AC7C9A"/>
    <w:rsid w:val="00AD245A"/>
    <w:rsid w:val="00AD4784"/>
    <w:rsid w:val="00AF0A78"/>
    <w:rsid w:val="00AF12B4"/>
    <w:rsid w:val="00AF6449"/>
    <w:rsid w:val="00B16C00"/>
    <w:rsid w:val="00B17556"/>
    <w:rsid w:val="00B24D90"/>
    <w:rsid w:val="00B26EAA"/>
    <w:rsid w:val="00B44864"/>
    <w:rsid w:val="00B4536D"/>
    <w:rsid w:val="00B51224"/>
    <w:rsid w:val="00B5581A"/>
    <w:rsid w:val="00B73CF7"/>
    <w:rsid w:val="00B91410"/>
    <w:rsid w:val="00BA0BBE"/>
    <w:rsid w:val="00BA1293"/>
    <w:rsid w:val="00BA7334"/>
    <w:rsid w:val="00BB091E"/>
    <w:rsid w:val="00BB47E5"/>
    <w:rsid w:val="00BC1942"/>
    <w:rsid w:val="00BE01C1"/>
    <w:rsid w:val="00BF05E8"/>
    <w:rsid w:val="00C122FC"/>
    <w:rsid w:val="00C31BB4"/>
    <w:rsid w:val="00C46B1B"/>
    <w:rsid w:val="00C63A2E"/>
    <w:rsid w:val="00C67EE5"/>
    <w:rsid w:val="00C70BEB"/>
    <w:rsid w:val="00C83E4F"/>
    <w:rsid w:val="00C96F38"/>
    <w:rsid w:val="00CD633B"/>
    <w:rsid w:val="00CF244C"/>
    <w:rsid w:val="00D06748"/>
    <w:rsid w:val="00D11DF8"/>
    <w:rsid w:val="00D14B60"/>
    <w:rsid w:val="00D16A9B"/>
    <w:rsid w:val="00D16C0B"/>
    <w:rsid w:val="00D1758D"/>
    <w:rsid w:val="00D21AEA"/>
    <w:rsid w:val="00D26A3B"/>
    <w:rsid w:val="00D35371"/>
    <w:rsid w:val="00D40814"/>
    <w:rsid w:val="00D53314"/>
    <w:rsid w:val="00D73C0D"/>
    <w:rsid w:val="00D9022E"/>
    <w:rsid w:val="00D9039A"/>
    <w:rsid w:val="00D95F3E"/>
    <w:rsid w:val="00E01CBB"/>
    <w:rsid w:val="00E35889"/>
    <w:rsid w:val="00E54531"/>
    <w:rsid w:val="00E62A4F"/>
    <w:rsid w:val="00E662F1"/>
    <w:rsid w:val="00E716CD"/>
    <w:rsid w:val="00E83AF4"/>
    <w:rsid w:val="00E86895"/>
    <w:rsid w:val="00EA56CC"/>
    <w:rsid w:val="00EB5D13"/>
    <w:rsid w:val="00ED20FC"/>
    <w:rsid w:val="00ED3367"/>
    <w:rsid w:val="00EE6FAC"/>
    <w:rsid w:val="00EF3327"/>
    <w:rsid w:val="00F17820"/>
    <w:rsid w:val="00F35B97"/>
    <w:rsid w:val="00F65BFE"/>
    <w:rsid w:val="00F70CE9"/>
    <w:rsid w:val="00F730E6"/>
    <w:rsid w:val="00F76F37"/>
    <w:rsid w:val="00F9456E"/>
    <w:rsid w:val="00F947D4"/>
    <w:rsid w:val="00F97533"/>
    <w:rsid w:val="00FB532F"/>
    <w:rsid w:val="00FB54E1"/>
    <w:rsid w:val="00FF33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5B8BA6"/>
  <w15:chartTrackingRefBased/>
  <w15:docId w15:val="{A893EF1C-8E51-47C1-B5AB-A60AEF41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433"/>
    <w:pPr>
      <w:spacing w:after="200" w:line="280" w:lineRule="atLeast"/>
      <w:jc w:val="both"/>
    </w:pPr>
    <w:rPr>
      <w:rFonts w:ascii="Century Gothic" w:hAnsi="Century Gothic"/>
      <w:color w:val="000000"/>
      <w:szCs w:val="24"/>
      <w:lang w:eastAsia="en-US"/>
    </w:rPr>
  </w:style>
  <w:style w:type="paragraph" w:styleId="Heading1">
    <w:name w:val="heading 1"/>
    <w:basedOn w:val="Normal"/>
    <w:next w:val="Normal"/>
    <w:link w:val="Heading1Char"/>
    <w:uiPriority w:val="9"/>
    <w:qFormat/>
    <w:rsid w:val="00794433"/>
    <w:pPr>
      <w:keepNext/>
      <w:pageBreakBefore/>
      <w:numPr>
        <w:numId w:val="2"/>
      </w:numPr>
      <w:spacing w:before="360" w:after="624"/>
      <w:jc w:val="left"/>
      <w:outlineLvl w:val="0"/>
    </w:pPr>
    <w:rPr>
      <w:rFonts w:cs="Arial"/>
      <w:b/>
      <w:bCs/>
      <w:color w:val="990000"/>
      <w:kern w:val="32"/>
      <w:sz w:val="31"/>
      <w:szCs w:val="32"/>
    </w:rPr>
  </w:style>
  <w:style w:type="paragraph" w:styleId="Heading2">
    <w:name w:val="heading 2"/>
    <w:basedOn w:val="Normal"/>
    <w:next w:val="Normal"/>
    <w:link w:val="Heading2Char"/>
    <w:uiPriority w:val="9"/>
    <w:qFormat/>
    <w:rsid w:val="00794433"/>
    <w:pPr>
      <w:keepNext/>
      <w:numPr>
        <w:ilvl w:val="1"/>
        <w:numId w:val="2"/>
      </w:numPr>
      <w:spacing w:before="567" w:after="227"/>
      <w:jc w:val="left"/>
      <w:outlineLvl w:val="1"/>
    </w:pPr>
    <w:rPr>
      <w:rFonts w:cs="Arial"/>
      <w:b/>
      <w:bCs/>
      <w:iCs/>
      <w:color w:val="990000"/>
      <w:sz w:val="28"/>
      <w:szCs w:val="28"/>
    </w:rPr>
  </w:style>
  <w:style w:type="paragraph" w:styleId="Heading3">
    <w:name w:val="heading 3"/>
    <w:basedOn w:val="Normal"/>
    <w:next w:val="Normal"/>
    <w:link w:val="Heading3Char"/>
    <w:uiPriority w:val="9"/>
    <w:qFormat/>
    <w:rsid w:val="00794433"/>
    <w:pPr>
      <w:keepNext/>
      <w:numPr>
        <w:ilvl w:val="2"/>
        <w:numId w:val="2"/>
      </w:numPr>
      <w:spacing w:before="510" w:after="227" w:line="240" w:lineRule="auto"/>
      <w:jc w:val="left"/>
      <w:outlineLvl w:val="2"/>
    </w:pPr>
    <w:rPr>
      <w:rFonts w:cs="Arial"/>
      <w:b/>
      <w:bCs/>
      <w:color w:val="990000"/>
      <w:sz w:val="24"/>
      <w:szCs w:val="26"/>
      <w:lang w:eastAsia="en-AU"/>
    </w:rPr>
  </w:style>
  <w:style w:type="paragraph" w:styleId="Heading4">
    <w:name w:val="heading 4"/>
    <w:basedOn w:val="Normal"/>
    <w:next w:val="Normal"/>
    <w:link w:val="Heading4Char"/>
    <w:uiPriority w:val="9"/>
    <w:qFormat/>
    <w:rsid w:val="00794433"/>
    <w:pPr>
      <w:keepNext/>
      <w:spacing w:before="397" w:after="227" w:line="240" w:lineRule="auto"/>
      <w:jc w:val="left"/>
      <w:outlineLvl w:val="3"/>
    </w:pPr>
    <w:rPr>
      <w:rFonts w:cs="Arial"/>
      <w:b/>
      <w:bCs/>
      <w:i/>
      <w:color w:val="990000"/>
      <w:sz w:val="24"/>
      <w:szCs w:val="28"/>
    </w:rPr>
  </w:style>
  <w:style w:type="paragraph" w:styleId="Heading5">
    <w:name w:val="heading 5"/>
    <w:basedOn w:val="Normal"/>
    <w:next w:val="Normal"/>
    <w:qFormat/>
    <w:rsid w:val="00794433"/>
    <w:pPr>
      <w:keepNext/>
      <w:spacing w:before="60" w:after="60" w:line="240" w:lineRule="auto"/>
      <w:jc w:val="left"/>
      <w:outlineLvl w:val="4"/>
    </w:pPr>
    <w:rPr>
      <w:bCs/>
      <w:i/>
      <w:iCs/>
      <w:color w:val="990000"/>
      <w:sz w:val="24"/>
      <w:szCs w:val="26"/>
    </w:rPr>
  </w:style>
  <w:style w:type="paragraph" w:styleId="Heading6">
    <w:name w:val="heading 6"/>
    <w:basedOn w:val="Normal"/>
    <w:next w:val="Normal"/>
    <w:qFormat/>
    <w:rsid w:val="00794433"/>
    <w:pPr>
      <w:numPr>
        <w:ilvl w:val="5"/>
        <w:numId w:val="2"/>
      </w:numPr>
      <w:spacing w:before="240" w:after="60" w:line="240" w:lineRule="auto"/>
      <w:jc w:val="left"/>
      <w:outlineLvl w:val="5"/>
    </w:pPr>
    <w:rPr>
      <w:rFonts w:ascii="Times New Roman" w:hAnsi="Times New Roman"/>
      <w:b/>
      <w:bCs/>
      <w:color w:val="auto"/>
      <w:szCs w:val="22"/>
      <w:lang w:eastAsia="en-AU"/>
    </w:rPr>
  </w:style>
  <w:style w:type="paragraph" w:styleId="Heading7">
    <w:name w:val="heading 7"/>
    <w:basedOn w:val="Normal"/>
    <w:next w:val="Normal"/>
    <w:qFormat/>
    <w:rsid w:val="00794433"/>
    <w:pPr>
      <w:numPr>
        <w:ilvl w:val="6"/>
        <w:numId w:val="2"/>
      </w:numPr>
      <w:spacing w:before="240" w:after="60" w:line="240" w:lineRule="auto"/>
      <w:jc w:val="left"/>
      <w:outlineLvl w:val="6"/>
    </w:pPr>
    <w:rPr>
      <w:rFonts w:ascii="Times New Roman" w:hAnsi="Times New Roman"/>
      <w:color w:val="auto"/>
      <w:sz w:val="24"/>
      <w:lang w:eastAsia="en-AU"/>
    </w:rPr>
  </w:style>
  <w:style w:type="paragraph" w:styleId="Heading8">
    <w:name w:val="heading 8"/>
    <w:basedOn w:val="Normal"/>
    <w:next w:val="Normal"/>
    <w:qFormat/>
    <w:rsid w:val="00794433"/>
    <w:pPr>
      <w:numPr>
        <w:ilvl w:val="7"/>
        <w:numId w:val="2"/>
      </w:numPr>
      <w:spacing w:before="240" w:after="60" w:line="240" w:lineRule="auto"/>
      <w:jc w:val="left"/>
      <w:outlineLvl w:val="7"/>
    </w:pPr>
    <w:rPr>
      <w:rFonts w:ascii="Times New Roman" w:hAnsi="Times New Roman"/>
      <w:i/>
      <w:iCs/>
      <w:color w:val="auto"/>
      <w:sz w:val="24"/>
      <w:lang w:eastAsia="en-AU"/>
    </w:rPr>
  </w:style>
  <w:style w:type="paragraph" w:styleId="Heading9">
    <w:name w:val="heading 9"/>
    <w:basedOn w:val="Normal"/>
    <w:next w:val="Normal"/>
    <w:qFormat/>
    <w:rsid w:val="00794433"/>
    <w:pPr>
      <w:numPr>
        <w:ilvl w:val="8"/>
        <w:numId w:val="2"/>
      </w:numPr>
      <w:spacing w:before="240" w:after="60" w:line="240" w:lineRule="auto"/>
      <w:jc w:val="left"/>
      <w:outlineLvl w:val="8"/>
    </w:pPr>
    <w:rPr>
      <w:rFonts w:cs="Arial"/>
      <w:color w:val="auto"/>
      <w:szCs w:val="22"/>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erseTitleText">
    <w:name w:val="ReverseTitleText"/>
    <w:basedOn w:val="Normal"/>
    <w:rsid w:val="00D16A9B"/>
    <w:pPr>
      <w:spacing w:line="200" w:lineRule="atLeast"/>
      <w:ind w:right="1440"/>
    </w:pPr>
    <w:rPr>
      <w:sz w:val="16"/>
    </w:rPr>
  </w:style>
  <w:style w:type="paragraph" w:customStyle="1" w:styleId="ReportTitle">
    <w:name w:val="ReportTitle"/>
    <w:basedOn w:val="Normal"/>
    <w:rsid w:val="00F35B97"/>
    <w:pPr>
      <w:spacing w:after="480"/>
      <w:jc w:val="center"/>
    </w:pPr>
    <w:rPr>
      <w:b/>
      <w:color w:val="990000"/>
      <w:sz w:val="40"/>
    </w:rPr>
  </w:style>
  <w:style w:type="paragraph" w:customStyle="1" w:styleId="ReportDate">
    <w:name w:val="ReportDate"/>
    <w:basedOn w:val="Normal"/>
    <w:rsid w:val="00B91410"/>
    <w:pPr>
      <w:jc w:val="center"/>
    </w:pPr>
    <w:rPr>
      <w:b/>
      <w:color w:val="990000"/>
      <w:sz w:val="28"/>
    </w:rPr>
  </w:style>
  <w:style w:type="paragraph" w:customStyle="1" w:styleId="Heading1c">
    <w:name w:val="Heading 1c"/>
    <w:basedOn w:val="Heading1"/>
    <w:rsid w:val="00D16A9B"/>
    <w:pPr>
      <w:numPr>
        <w:numId w:val="0"/>
      </w:numPr>
      <w:outlineLvl w:val="9"/>
    </w:pPr>
  </w:style>
  <w:style w:type="paragraph" w:customStyle="1" w:styleId="Heading2a">
    <w:name w:val="Heading 2a"/>
    <w:basedOn w:val="Heading2"/>
    <w:qFormat/>
    <w:rsid w:val="00D16A9B"/>
    <w:pPr>
      <w:numPr>
        <w:ilvl w:val="0"/>
        <w:numId w:val="0"/>
      </w:numPr>
      <w:outlineLvl w:val="9"/>
    </w:pPr>
  </w:style>
  <w:style w:type="paragraph" w:customStyle="1" w:styleId="Bullet">
    <w:name w:val="Bullet"/>
    <w:basedOn w:val="Normal"/>
    <w:link w:val="BulletChar"/>
    <w:qFormat/>
    <w:rsid w:val="00794433"/>
    <w:pPr>
      <w:numPr>
        <w:numId w:val="3"/>
      </w:numPr>
    </w:pPr>
    <w:rPr>
      <w:color w:val="990000"/>
      <w:lang w:val="x-none"/>
    </w:rPr>
  </w:style>
  <w:style w:type="paragraph" w:styleId="Header">
    <w:name w:val="header"/>
    <w:basedOn w:val="Normal"/>
    <w:link w:val="HeaderChar"/>
    <w:uiPriority w:val="99"/>
    <w:rsid w:val="00D16A9B"/>
    <w:pPr>
      <w:tabs>
        <w:tab w:val="center" w:pos="4320"/>
        <w:tab w:val="right" w:pos="8640"/>
      </w:tabs>
      <w:spacing w:after="0" w:line="240" w:lineRule="auto"/>
      <w:jc w:val="left"/>
    </w:pPr>
  </w:style>
  <w:style w:type="paragraph" w:styleId="Footer">
    <w:name w:val="footer"/>
    <w:basedOn w:val="Normal"/>
    <w:link w:val="FooterChar"/>
    <w:uiPriority w:val="99"/>
    <w:rsid w:val="00D16A9B"/>
    <w:pPr>
      <w:tabs>
        <w:tab w:val="left" w:pos="540"/>
        <w:tab w:val="right" w:pos="8460"/>
        <w:tab w:val="right" w:pos="9000"/>
      </w:tabs>
      <w:spacing w:after="0" w:line="240" w:lineRule="auto"/>
      <w:ind w:left="547" w:hanging="547"/>
      <w:jc w:val="left"/>
    </w:pPr>
    <w:rPr>
      <w:rFonts w:ascii="Arial Narrow" w:hAnsi="Arial Narrow"/>
      <w:color w:val="003D78"/>
      <w:sz w:val="16"/>
    </w:rPr>
  </w:style>
  <w:style w:type="character" w:styleId="PageNumber">
    <w:name w:val="page number"/>
    <w:semiHidden/>
    <w:rsid w:val="00D16A9B"/>
    <w:rPr>
      <w:rFonts w:ascii="Arial Bold" w:hAnsi="Arial Bold"/>
      <w:b/>
      <w:color w:val="003D78"/>
    </w:rPr>
  </w:style>
  <w:style w:type="paragraph" w:customStyle="1" w:styleId="TableName">
    <w:name w:val="TableName"/>
    <w:basedOn w:val="Normal"/>
    <w:rsid w:val="00D35371"/>
    <w:pPr>
      <w:keepNext/>
      <w:keepLines/>
      <w:tabs>
        <w:tab w:val="left" w:pos="1080"/>
      </w:tabs>
      <w:spacing w:before="567" w:after="120" w:line="240" w:lineRule="auto"/>
      <w:ind w:left="1080" w:hanging="1080"/>
      <w:jc w:val="left"/>
    </w:pPr>
    <w:rPr>
      <w:b/>
      <w:color w:val="990000"/>
      <w:sz w:val="18"/>
    </w:rPr>
  </w:style>
  <w:style w:type="paragraph" w:customStyle="1" w:styleId="TableText">
    <w:name w:val="TableText"/>
    <w:basedOn w:val="Normal"/>
    <w:rsid w:val="00D35371"/>
    <w:pPr>
      <w:keepNext/>
      <w:spacing w:before="40" w:after="40" w:line="240" w:lineRule="auto"/>
      <w:jc w:val="left"/>
    </w:pPr>
    <w:rPr>
      <w:rFonts w:cs="Arial"/>
      <w:sz w:val="18"/>
      <w:szCs w:val="22"/>
    </w:rPr>
  </w:style>
  <w:style w:type="paragraph" w:customStyle="1" w:styleId="FigureName">
    <w:name w:val="FigureName"/>
    <w:basedOn w:val="Normal"/>
    <w:rsid w:val="00423E72"/>
    <w:pPr>
      <w:keepNext/>
      <w:keepLines/>
      <w:tabs>
        <w:tab w:val="left" w:pos="1080"/>
      </w:tabs>
      <w:spacing w:before="567" w:after="227" w:line="240" w:lineRule="auto"/>
      <w:ind w:left="1080" w:hanging="1080"/>
      <w:jc w:val="left"/>
    </w:pPr>
    <w:rPr>
      <w:rFonts w:ascii="Arial Narrow" w:hAnsi="Arial Narrow"/>
      <w:b/>
      <w:color w:val="990000"/>
    </w:rPr>
  </w:style>
  <w:style w:type="paragraph" w:customStyle="1" w:styleId="FigureNotes">
    <w:name w:val="FigureNotes"/>
    <w:basedOn w:val="Normal"/>
    <w:rsid w:val="00423E72"/>
    <w:pPr>
      <w:keepLines/>
      <w:spacing w:before="40" w:after="510" w:line="240" w:lineRule="auto"/>
      <w:jc w:val="left"/>
    </w:pPr>
    <w:rPr>
      <w:color w:val="595959"/>
      <w:sz w:val="15"/>
      <w:szCs w:val="16"/>
    </w:rPr>
  </w:style>
  <w:style w:type="paragraph" w:customStyle="1" w:styleId="FigurePara">
    <w:name w:val="FigurePara"/>
    <w:basedOn w:val="Normal"/>
    <w:rsid w:val="00D16A9B"/>
    <w:pPr>
      <w:keepNext/>
      <w:spacing w:line="240" w:lineRule="auto"/>
      <w:jc w:val="left"/>
    </w:pPr>
  </w:style>
  <w:style w:type="paragraph" w:customStyle="1" w:styleId="TableNotes">
    <w:name w:val="TableNotes"/>
    <w:basedOn w:val="Normal"/>
    <w:rsid w:val="00D16A9B"/>
    <w:pPr>
      <w:keepLines/>
      <w:spacing w:before="40" w:after="510" w:line="240" w:lineRule="auto"/>
      <w:jc w:val="left"/>
    </w:pPr>
    <w:rPr>
      <w:rFonts w:ascii="Arial Narrow" w:hAnsi="Arial Narrow" w:cs="Arial"/>
      <w:sz w:val="16"/>
      <w:szCs w:val="16"/>
    </w:rPr>
  </w:style>
  <w:style w:type="character" w:styleId="Hyperlink">
    <w:name w:val="Hyperlink"/>
    <w:uiPriority w:val="99"/>
    <w:rsid w:val="00D16A9B"/>
    <w:rPr>
      <w:color w:val="003D78"/>
      <w:u w:val="none"/>
    </w:rPr>
  </w:style>
  <w:style w:type="paragraph" w:customStyle="1" w:styleId="References">
    <w:name w:val="References"/>
    <w:basedOn w:val="Normal"/>
    <w:rsid w:val="00D16A9B"/>
    <w:pPr>
      <w:numPr>
        <w:numId w:val="1"/>
      </w:numPr>
      <w:spacing w:after="180" w:line="260" w:lineRule="atLeast"/>
      <w:ind w:hanging="720"/>
    </w:pPr>
    <w:rPr>
      <w:lang w:eastAsia="en-AU"/>
    </w:rPr>
  </w:style>
  <w:style w:type="paragraph" w:styleId="FootnoteText">
    <w:name w:val="footnote text"/>
    <w:basedOn w:val="Normal"/>
    <w:link w:val="FootnoteTextChar"/>
    <w:uiPriority w:val="99"/>
    <w:semiHidden/>
    <w:rsid w:val="00D16A9B"/>
    <w:pPr>
      <w:spacing w:after="0" w:line="240" w:lineRule="auto"/>
    </w:pPr>
    <w:rPr>
      <w:sz w:val="16"/>
      <w:szCs w:val="20"/>
      <w:lang w:eastAsia="en-AU"/>
    </w:rPr>
  </w:style>
  <w:style w:type="character" w:styleId="FootnoteReference">
    <w:name w:val="footnote reference"/>
    <w:uiPriority w:val="99"/>
    <w:semiHidden/>
    <w:rsid w:val="00D16A9B"/>
    <w:rPr>
      <w:vertAlign w:val="superscript"/>
    </w:rPr>
  </w:style>
  <w:style w:type="paragraph" w:styleId="EndnoteText">
    <w:name w:val="endnote text"/>
    <w:basedOn w:val="Normal"/>
    <w:semiHidden/>
    <w:rsid w:val="00D16A9B"/>
    <w:pPr>
      <w:spacing w:after="0" w:line="240" w:lineRule="auto"/>
    </w:pPr>
    <w:rPr>
      <w:sz w:val="16"/>
      <w:szCs w:val="20"/>
    </w:rPr>
  </w:style>
  <w:style w:type="paragraph" w:customStyle="1" w:styleId="Heading1b">
    <w:name w:val="Heading 1b"/>
    <w:basedOn w:val="Heading1"/>
    <w:rsid w:val="00423E72"/>
    <w:pPr>
      <w:numPr>
        <w:numId w:val="0"/>
      </w:numPr>
      <w:ind w:left="2160" w:hanging="2160"/>
      <w:outlineLvl w:val="3"/>
    </w:pPr>
  </w:style>
  <w:style w:type="paragraph" w:customStyle="1" w:styleId="FigureText">
    <w:name w:val="FigureText"/>
    <w:basedOn w:val="Normal"/>
    <w:rsid w:val="00D16A9B"/>
    <w:pPr>
      <w:spacing w:after="0" w:line="240" w:lineRule="auto"/>
      <w:jc w:val="center"/>
    </w:pPr>
    <w:rPr>
      <w:rFonts w:ascii="Arial Narrow" w:hAnsi="Arial Narrow" w:cs="Arial"/>
      <w:sz w:val="18"/>
      <w:szCs w:val="18"/>
    </w:rPr>
  </w:style>
  <w:style w:type="paragraph" w:styleId="TOC1">
    <w:name w:val="toc 1"/>
    <w:basedOn w:val="Normal"/>
    <w:next w:val="Normal"/>
    <w:autoRedefine/>
    <w:uiPriority w:val="39"/>
    <w:rsid w:val="00A156EB"/>
    <w:pPr>
      <w:tabs>
        <w:tab w:val="left" w:pos="720"/>
        <w:tab w:val="right" w:leader="dot" w:pos="9019"/>
      </w:tabs>
      <w:spacing w:before="240" w:after="180" w:line="240" w:lineRule="auto"/>
      <w:ind w:left="720" w:right="720" w:hanging="720"/>
      <w:jc w:val="left"/>
    </w:pPr>
    <w:rPr>
      <w:b/>
      <w:bCs/>
      <w:noProof/>
      <w:szCs w:val="36"/>
    </w:rPr>
  </w:style>
  <w:style w:type="paragraph" w:styleId="TOC2">
    <w:name w:val="toc 2"/>
    <w:basedOn w:val="Normal"/>
    <w:next w:val="Normal"/>
    <w:autoRedefine/>
    <w:uiPriority w:val="39"/>
    <w:rsid w:val="00D16A9B"/>
    <w:pPr>
      <w:tabs>
        <w:tab w:val="left" w:pos="1440"/>
        <w:tab w:val="right" w:leader="dot" w:pos="9019"/>
      </w:tabs>
      <w:spacing w:before="120" w:after="60" w:line="240" w:lineRule="auto"/>
      <w:ind w:left="720" w:right="720"/>
      <w:jc w:val="left"/>
    </w:pPr>
    <w:rPr>
      <w:noProof/>
      <w:szCs w:val="30"/>
    </w:rPr>
  </w:style>
  <w:style w:type="paragraph" w:styleId="TOC3">
    <w:name w:val="toc 3"/>
    <w:basedOn w:val="Normal"/>
    <w:next w:val="Normal"/>
    <w:autoRedefine/>
    <w:uiPriority w:val="39"/>
    <w:rsid w:val="00D16A9B"/>
    <w:pPr>
      <w:tabs>
        <w:tab w:val="right" w:leader="dot" w:pos="9019"/>
      </w:tabs>
      <w:spacing w:after="60" w:line="240" w:lineRule="auto"/>
      <w:ind w:left="720" w:right="720"/>
      <w:jc w:val="left"/>
    </w:pPr>
    <w:rPr>
      <w:noProof/>
    </w:rPr>
  </w:style>
  <w:style w:type="paragraph" w:styleId="TOC4">
    <w:name w:val="toc 4"/>
    <w:basedOn w:val="Normal"/>
    <w:next w:val="Normal"/>
    <w:autoRedefine/>
    <w:uiPriority w:val="39"/>
    <w:rsid w:val="00A156EB"/>
    <w:pPr>
      <w:tabs>
        <w:tab w:val="left" w:pos="1200"/>
        <w:tab w:val="right" w:leader="dot" w:pos="9019"/>
      </w:tabs>
      <w:spacing w:before="180" w:after="120" w:line="240" w:lineRule="auto"/>
      <w:ind w:right="720"/>
      <w:jc w:val="left"/>
    </w:pPr>
    <w:rPr>
      <w:b/>
      <w:bCs/>
      <w:noProof/>
      <w:szCs w:val="36"/>
    </w:rPr>
  </w:style>
  <w:style w:type="paragraph" w:styleId="TableofFigures">
    <w:name w:val="table of figures"/>
    <w:basedOn w:val="Normal"/>
    <w:next w:val="Normal"/>
    <w:autoRedefine/>
    <w:uiPriority w:val="99"/>
    <w:rsid w:val="00D16A9B"/>
    <w:pPr>
      <w:tabs>
        <w:tab w:val="left" w:pos="1080"/>
        <w:tab w:val="right" w:leader="dot" w:pos="9014"/>
      </w:tabs>
      <w:spacing w:after="120" w:line="240" w:lineRule="auto"/>
      <w:ind w:left="1080" w:right="720" w:hanging="1080"/>
      <w:jc w:val="left"/>
    </w:pPr>
    <w:rPr>
      <w:noProof/>
      <w:szCs w:val="22"/>
    </w:rPr>
  </w:style>
  <w:style w:type="paragraph" w:customStyle="1" w:styleId="ReportSubTitle">
    <w:name w:val="ReportSubTitle"/>
    <w:basedOn w:val="ReportTitle"/>
    <w:rsid w:val="00E662F1"/>
    <w:pPr>
      <w:spacing w:before="720"/>
    </w:pPr>
    <w:rPr>
      <w:b w:val="0"/>
      <w:color w:val="595959"/>
      <w:sz w:val="34"/>
    </w:rPr>
  </w:style>
  <w:style w:type="character" w:styleId="EndnoteReference">
    <w:name w:val="endnote reference"/>
    <w:semiHidden/>
    <w:rsid w:val="00D16A9B"/>
    <w:rPr>
      <w:vertAlign w:val="superscript"/>
    </w:rPr>
  </w:style>
  <w:style w:type="paragraph" w:customStyle="1" w:styleId="Figure">
    <w:name w:val="Figure"/>
    <w:basedOn w:val="FigureName"/>
    <w:qFormat/>
    <w:rsid w:val="00794433"/>
    <w:pPr>
      <w:spacing w:before="440" w:after="300"/>
      <w:ind w:left="1077" w:hanging="1077"/>
    </w:pPr>
  </w:style>
  <w:style w:type="paragraph" w:customStyle="1" w:styleId="Heading1a">
    <w:name w:val="Heading 1a"/>
    <w:basedOn w:val="Heading1"/>
    <w:rsid w:val="00423E72"/>
    <w:pPr>
      <w:numPr>
        <w:numId w:val="0"/>
      </w:numPr>
    </w:pPr>
  </w:style>
  <w:style w:type="paragraph" w:styleId="Subtitle">
    <w:name w:val="Subtitle"/>
    <w:basedOn w:val="Normal"/>
    <w:next w:val="Normal"/>
    <w:link w:val="SubtitleChar"/>
    <w:uiPriority w:val="11"/>
    <w:qFormat/>
    <w:rsid w:val="00794433"/>
    <w:pPr>
      <w:numPr>
        <w:ilvl w:val="1"/>
      </w:numPr>
    </w:pPr>
    <w:rPr>
      <w:i/>
      <w:iCs/>
      <w:color w:val="4F81BD"/>
      <w:spacing w:val="15"/>
      <w:sz w:val="24"/>
      <w:lang w:val="x-none"/>
    </w:rPr>
  </w:style>
  <w:style w:type="character" w:customStyle="1" w:styleId="SubtitleChar">
    <w:name w:val="Subtitle Char"/>
    <w:link w:val="Subtitle"/>
    <w:uiPriority w:val="11"/>
    <w:rsid w:val="00794433"/>
    <w:rPr>
      <w:rFonts w:ascii="Century Gothic" w:eastAsia="Times New Roman" w:hAnsi="Century Gothic" w:cs="Times New Roman"/>
      <w:i/>
      <w:iCs/>
      <w:color w:val="4F81BD"/>
      <w:spacing w:val="15"/>
      <w:sz w:val="24"/>
      <w:szCs w:val="24"/>
      <w:lang w:eastAsia="en-US"/>
    </w:rPr>
  </w:style>
  <w:style w:type="character" w:styleId="SubtleEmphasis">
    <w:name w:val="Subtle Emphasis"/>
    <w:uiPriority w:val="19"/>
    <w:qFormat/>
    <w:rsid w:val="00794433"/>
    <w:rPr>
      <w:i/>
      <w:iCs/>
      <w:color w:val="808080"/>
    </w:rPr>
  </w:style>
  <w:style w:type="character" w:customStyle="1" w:styleId="BulletChar">
    <w:name w:val="Bullet Char"/>
    <w:link w:val="Bullet"/>
    <w:rsid w:val="00794433"/>
    <w:rPr>
      <w:rFonts w:ascii="Century Gothic" w:hAnsi="Century Gothic"/>
      <w:color w:val="990000"/>
      <w:szCs w:val="24"/>
      <w:lang w:val="x-none" w:eastAsia="en-US"/>
    </w:rPr>
  </w:style>
  <w:style w:type="paragraph" w:styleId="PlainText">
    <w:name w:val="Plain Text"/>
    <w:basedOn w:val="Normal"/>
    <w:link w:val="PlainTextChar"/>
    <w:uiPriority w:val="99"/>
    <w:unhideWhenUsed/>
    <w:rsid w:val="00D53314"/>
    <w:pPr>
      <w:spacing w:after="0" w:line="240" w:lineRule="auto"/>
      <w:jc w:val="left"/>
    </w:pPr>
    <w:rPr>
      <w:rFonts w:ascii="Consolas" w:eastAsia="Century Gothic" w:hAnsi="Consolas"/>
      <w:color w:val="auto"/>
      <w:sz w:val="21"/>
      <w:szCs w:val="21"/>
      <w:lang w:val="x-none"/>
    </w:rPr>
  </w:style>
  <w:style w:type="character" w:customStyle="1" w:styleId="PlainTextChar">
    <w:name w:val="Plain Text Char"/>
    <w:link w:val="PlainText"/>
    <w:uiPriority w:val="99"/>
    <w:rsid w:val="00D53314"/>
    <w:rPr>
      <w:rFonts w:ascii="Consolas" w:eastAsia="Century Gothic" w:hAnsi="Consolas" w:cs="Times New Roman"/>
      <w:sz w:val="21"/>
      <w:szCs w:val="21"/>
      <w:lang w:eastAsia="en-US"/>
    </w:rPr>
  </w:style>
  <w:style w:type="paragraph" w:customStyle="1" w:styleId="BasicParagraph">
    <w:name w:val="[Basic Paragraph]"/>
    <w:basedOn w:val="Normal"/>
    <w:uiPriority w:val="99"/>
    <w:rsid w:val="00794433"/>
    <w:pPr>
      <w:autoSpaceDE w:val="0"/>
      <w:autoSpaceDN w:val="0"/>
      <w:adjustRightInd w:val="0"/>
      <w:spacing w:after="0" w:line="288" w:lineRule="auto"/>
      <w:jc w:val="left"/>
      <w:textAlignment w:val="center"/>
    </w:pPr>
    <w:rPr>
      <w:rFonts w:ascii="Times New Roman" w:hAnsi="Times New Roman"/>
      <w:sz w:val="24"/>
      <w:lang w:val="en-GB" w:eastAsia="en-AU"/>
    </w:rPr>
  </w:style>
  <w:style w:type="paragraph" w:styleId="BalloonText">
    <w:name w:val="Balloon Text"/>
    <w:basedOn w:val="Normal"/>
    <w:link w:val="BalloonTextChar"/>
    <w:uiPriority w:val="99"/>
    <w:semiHidden/>
    <w:unhideWhenUsed/>
    <w:rsid w:val="00491D4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91D42"/>
    <w:rPr>
      <w:rFonts w:ascii="Tahoma" w:hAnsi="Tahoma" w:cs="Tahoma"/>
      <w:color w:val="000000"/>
      <w:sz w:val="16"/>
      <w:szCs w:val="16"/>
      <w:lang w:eastAsia="en-US"/>
    </w:rPr>
  </w:style>
  <w:style w:type="character" w:styleId="Strong">
    <w:name w:val="Strong"/>
    <w:uiPriority w:val="22"/>
    <w:qFormat/>
    <w:rsid w:val="009C381D"/>
    <w:rPr>
      <w:b/>
      <w:bCs/>
      <w:color w:val="000000"/>
    </w:rPr>
  </w:style>
  <w:style w:type="paragraph" w:customStyle="1" w:styleId="Default">
    <w:name w:val="Default"/>
    <w:rsid w:val="00425618"/>
    <w:pPr>
      <w:autoSpaceDE w:val="0"/>
      <w:autoSpaceDN w:val="0"/>
      <w:adjustRightInd w:val="0"/>
    </w:pPr>
    <w:rPr>
      <w:rFonts w:ascii="Calibri" w:hAnsi="Calibri" w:cs="Calibri"/>
      <w:color w:val="000000"/>
      <w:sz w:val="24"/>
      <w:szCs w:val="24"/>
    </w:rPr>
  </w:style>
  <w:style w:type="paragraph" w:customStyle="1" w:styleId="TEXT">
    <w:name w:val="TEXT"/>
    <w:basedOn w:val="Normal"/>
    <w:uiPriority w:val="99"/>
    <w:rsid w:val="00AD4784"/>
    <w:pPr>
      <w:autoSpaceDE w:val="0"/>
      <w:autoSpaceDN w:val="0"/>
      <w:adjustRightInd w:val="0"/>
      <w:spacing w:after="340" w:line="320" w:lineRule="atLeast"/>
      <w:jc w:val="left"/>
    </w:pPr>
    <w:rPr>
      <w:rFonts w:ascii="Myriad Pro Light" w:eastAsia="Calibri" w:hAnsi="Myriad Pro Light" w:cs="Myriad Pro Light"/>
      <w:sz w:val="24"/>
      <w:lang w:val="en-GB"/>
    </w:rPr>
  </w:style>
  <w:style w:type="character" w:customStyle="1" w:styleId="hyper">
    <w:name w:val="hyper"/>
    <w:uiPriority w:val="99"/>
    <w:rsid w:val="00AD4784"/>
    <w:rPr>
      <w:color w:val="000000"/>
      <w:u w:val="thick"/>
    </w:rPr>
  </w:style>
  <w:style w:type="character" w:styleId="CommentReference">
    <w:name w:val="annotation reference"/>
    <w:uiPriority w:val="99"/>
    <w:semiHidden/>
    <w:unhideWhenUsed/>
    <w:rsid w:val="007F4E3A"/>
    <w:rPr>
      <w:sz w:val="16"/>
      <w:szCs w:val="16"/>
    </w:rPr>
  </w:style>
  <w:style w:type="paragraph" w:styleId="CommentText">
    <w:name w:val="annotation text"/>
    <w:basedOn w:val="Normal"/>
    <w:link w:val="CommentTextChar"/>
    <w:uiPriority w:val="99"/>
    <w:unhideWhenUsed/>
    <w:rsid w:val="007F4E3A"/>
    <w:pPr>
      <w:spacing w:after="160" w:line="240" w:lineRule="auto"/>
      <w:jc w:val="left"/>
    </w:pPr>
    <w:rPr>
      <w:rFonts w:ascii="Calibri" w:eastAsia="Calibri" w:hAnsi="Calibri"/>
      <w:color w:val="auto"/>
      <w:szCs w:val="20"/>
    </w:rPr>
  </w:style>
  <w:style w:type="character" w:customStyle="1" w:styleId="CommentTextChar">
    <w:name w:val="Comment Text Char"/>
    <w:link w:val="CommentText"/>
    <w:uiPriority w:val="99"/>
    <w:rsid w:val="007F4E3A"/>
    <w:rPr>
      <w:rFonts w:ascii="Calibri" w:eastAsia="Calibri" w:hAnsi="Calibri"/>
      <w:lang w:eastAsia="en-US"/>
    </w:rPr>
  </w:style>
  <w:style w:type="character" w:customStyle="1" w:styleId="FootnoteTextChar">
    <w:name w:val="Footnote Text Char"/>
    <w:link w:val="FootnoteText"/>
    <w:uiPriority w:val="99"/>
    <w:semiHidden/>
    <w:rsid w:val="007F4E3A"/>
    <w:rPr>
      <w:rFonts w:ascii="Century Gothic" w:hAnsi="Century Gothic"/>
      <w:color w:val="000000"/>
      <w:sz w:val="16"/>
    </w:rPr>
  </w:style>
  <w:style w:type="paragraph" w:styleId="ListParagraph">
    <w:name w:val="List Paragraph"/>
    <w:basedOn w:val="Normal"/>
    <w:uiPriority w:val="34"/>
    <w:qFormat/>
    <w:rsid w:val="007F4E3A"/>
    <w:pPr>
      <w:spacing w:after="160" w:line="259" w:lineRule="auto"/>
      <w:ind w:left="720"/>
      <w:contextualSpacing/>
      <w:jc w:val="left"/>
    </w:pPr>
    <w:rPr>
      <w:rFonts w:ascii="Calibri" w:eastAsia="Calibri" w:hAnsi="Calibri"/>
      <w:color w:val="auto"/>
      <w:sz w:val="22"/>
      <w:szCs w:val="22"/>
    </w:rPr>
  </w:style>
  <w:style w:type="paragraph" w:styleId="CommentSubject">
    <w:name w:val="annotation subject"/>
    <w:basedOn w:val="CommentText"/>
    <w:next w:val="CommentText"/>
    <w:link w:val="CommentSubjectChar"/>
    <w:uiPriority w:val="99"/>
    <w:semiHidden/>
    <w:unhideWhenUsed/>
    <w:rsid w:val="00BB091E"/>
    <w:pPr>
      <w:spacing w:after="200" w:line="280" w:lineRule="atLeast"/>
      <w:jc w:val="both"/>
    </w:pPr>
    <w:rPr>
      <w:rFonts w:ascii="Century Gothic" w:eastAsia="Times New Roman" w:hAnsi="Century Gothic"/>
      <w:b/>
      <w:bCs/>
      <w:color w:val="000000"/>
    </w:rPr>
  </w:style>
  <w:style w:type="character" w:customStyle="1" w:styleId="CommentSubjectChar">
    <w:name w:val="Comment Subject Char"/>
    <w:link w:val="CommentSubject"/>
    <w:uiPriority w:val="99"/>
    <w:semiHidden/>
    <w:rsid w:val="00BB091E"/>
    <w:rPr>
      <w:rFonts w:ascii="Century Gothic" w:eastAsia="Calibri" w:hAnsi="Century Gothic"/>
      <w:b/>
      <w:bCs/>
      <w:color w:val="000000"/>
      <w:lang w:eastAsia="en-US"/>
    </w:rPr>
  </w:style>
  <w:style w:type="paragraph" w:styleId="Caption">
    <w:name w:val="caption"/>
    <w:basedOn w:val="Figure"/>
    <w:next w:val="Normal"/>
    <w:uiPriority w:val="35"/>
    <w:unhideWhenUsed/>
    <w:qFormat/>
    <w:rsid w:val="002546DF"/>
    <w:pPr>
      <w:ind w:left="1440" w:hanging="1440"/>
    </w:pPr>
  </w:style>
  <w:style w:type="character" w:customStyle="1" w:styleId="Heading1Char">
    <w:name w:val="Heading 1 Char"/>
    <w:link w:val="Heading1"/>
    <w:uiPriority w:val="9"/>
    <w:rsid w:val="009210B8"/>
    <w:rPr>
      <w:rFonts w:ascii="Century Gothic" w:hAnsi="Century Gothic" w:cs="Arial"/>
      <w:b/>
      <w:bCs/>
      <w:color w:val="990000"/>
      <w:kern w:val="32"/>
      <w:sz w:val="31"/>
      <w:szCs w:val="32"/>
      <w:lang w:eastAsia="en-US"/>
    </w:rPr>
  </w:style>
  <w:style w:type="character" w:customStyle="1" w:styleId="Heading2Char">
    <w:name w:val="Heading 2 Char"/>
    <w:link w:val="Heading2"/>
    <w:uiPriority w:val="9"/>
    <w:rsid w:val="009210B8"/>
    <w:rPr>
      <w:rFonts w:ascii="Century Gothic" w:hAnsi="Century Gothic" w:cs="Arial"/>
      <w:b/>
      <w:bCs/>
      <w:iCs/>
      <w:color w:val="990000"/>
      <w:sz w:val="28"/>
      <w:szCs w:val="28"/>
      <w:lang w:eastAsia="en-US"/>
    </w:rPr>
  </w:style>
  <w:style w:type="character" w:customStyle="1" w:styleId="Heading3Char">
    <w:name w:val="Heading 3 Char"/>
    <w:link w:val="Heading3"/>
    <w:uiPriority w:val="9"/>
    <w:rsid w:val="009210B8"/>
    <w:rPr>
      <w:rFonts w:ascii="Century Gothic" w:hAnsi="Century Gothic" w:cs="Arial"/>
      <w:b/>
      <w:bCs/>
      <w:color w:val="990000"/>
      <w:sz w:val="24"/>
      <w:szCs w:val="26"/>
    </w:rPr>
  </w:style>
  <w:style w:type="character" w:customStyle="1" w:styleId="Heading4Char">
    <w:name w:val="Heading 4 Char"/>
    <w:link w:val="Heading4"/>
    <w:uiPriority w:val="9"/>
    <w:rsid w:val="009210B8"/>
    <w:rPr>
      <w:rFonts w:ascii="Century Gothic" w:hAnsi="Century Gothic" w:cs="Arial"/>
      <w:b/>
      <w:bCs/>
      <w:i/>
      <w:color w:val="990000"/>
      <w:sz w:val="24"/>
      <w:szCs w:val="28"/>
      <w:lang w:eastAsia="en-US"/>
    </w:rPr>
  </w:style>
  <w:style w:type="paragraph" w:customStyle="1" w:styleId="paragraph">
    <w:name w:val="paragraph"/>
    <w:basedOn w:val="Normal"/>
    <w:rsid w:val="009210B8"/>
    <w:pPr>
      <w:spacing w:before="100" w:beforeAutospacing="1" w:after="100" w:afterAutospacing="1" w:line="240" w:lineRule="auto"/>
      <w:jc w:val="left"/>
    </w:pPr>
    <w:rPr>
      <w:rFonts w:ascii="Times New Roman" w:hAnsi="Times New Roman"/>
      <w:color w:val="auto"/>
      <w:sz w:val="24"/>
      <w:lang w:eastAsia="en-AU"/>
    </w:rPr>
  </w:style>
  <w:style w:type="character" w:customStyle="1" w:styleId="normaltextrun">
    <w:name w:val="normaltextrun"/>
    <w:rsid w:val="009210B8"/>
  </w:style>
  <w:style w:type="character" w:customStyle="1" w:styleId="eop">
    <w:name w:val="eop"/>
    <w:rsid w:val="009210B8"/>
  </w:style>
  <w:style w:type="character" w:customStyle="1" w:styleId="HeaderChar">
    <w:name w:val="Header Char"/>
    <w:link w:val="Header"/>
    <w:uiPriority w:val="99"/>
    <w:rsid w:val="009210B8"/>
    <w:rPr>
      <w:rFonts w:ascii="Century Gothic" w:hAnsi="Century Gothic"/>
      <w:color w:val="000000"/>
      <w:szCs w:val="24"/>
      <w:lang w:eastAsia="en-US"/>
    </w:rPr>
  </w:style>
  <w:style w:type="character" w:customStyle="1" w:styleId="FooterChar">
    <w:name w:val="Footer Char"/>
    <w:link w:val="Footer"/>
    <w:uiPriority w:val="99"/>
    <w:rsid w:val="009210B8"/>
    <w:rPr>
      <w:rFonts w:ascii="Arial Narrow" w:hAnsi="Arial Narrow"/>
      <w:color w:val="003D78"/>
      <w:sz w:val="16"/>
      <w:szCs w:val="24"/>
      <w:lang w:eastAsia="en-US"/>
    </w:rPr>
  </w:style>
  <w:style w:type="table" w:styleId="TableGrid">
    <w:name w:val="Table Grid"/>
    <w:basedOn w:val="TableNormal"/>
    <w:uiPriority w:val="39"/>
    <w:rsid w:val="009210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210B8"/>
    <w:pPr>
      <w:keepLines/>
      <w:pageBreakBefore w:val="0"/>
      <w:numPr>
        <w:numId w:val="0"/>
      </w:numPr>
      <w:spacing w:before="240" w:after="0" w:line="259" w:lineRule="auto"/>
      <w:outlineLvl w:val="9"/>
    </w:pPr>
    <w:rPr>
      <w:rFonts w:ascii="Calibri Light" w:hAnsi="Calibri Light" w:cs="Times New Roman"/>
      <w:b w:val="0"/>
      <w:bCs w:val="0"/>
      <w:color w:val="2F5496"/>
      <w:kern w:val="0"/>
      <w:sz w:val="32"/>
      <w:lang w:val="en-US"/>
    </w:rPr>
  </w:style>
  <w:style w:type="paragraph" w:styleId="NormalWeb">
    <w:name w:val="Normal (Web)"/>
    <w:basedOn w:val="Normal"/>
    <w:uiPriority w:val="99"/>
    <w:semiHidden/>
    <w:unhideWhenUsed/>
    <w:rsid w:val="009210B8"/>
    <w:pPr>
      <w:spacing w:before="100" w:beforeAutospacing="1" w:after="100" w:afterAutospacing="1" w:line="240" w:lineRule="auto"/>
      <w:jc w:val="left"/>
    </w:pPr>
    <w:rPr>
      <w:rFonts w:ascii="Times New Roman" w:hAnsi="Times New Roman"/>
      <w:color w:val="auto"/>
      <w:sz w:val="24"/>
      <w:lang w:eastAsia="en-AU"/>
    </w:rPr>
  </w:style>
  <w:style w:type="paragraph" w:styleId="Revision">
    <w:name w:val="Revision"/>
    <w:hidden/>
    <w:uiPriority w:val="99"/>
    <w:semiHidden/>
    <w:rsid w:val="009210B8"/>
    <w:rPr>
      <w:rFonts w:ascii="Calibri" w:eastAsia="Calibri" w:hAnsi="Calibri"/>
      <w:sz w:val="22"/>
      <w:szCs w:val="22"/>
      <w:lang w:eastAsia="en-US"/>
    </w:rPr>
  </w:style>
  <w:style w:type="character" w:styleId="UnresolvedMention">
    <w:name w:val="Unresolved Mention"/>
    <w:uiPriority w:val="99"/>
    <w:semiHidden/>
    <w:unhideWhenUsed/>
    <w:rsid w:val="009210B8"/>
    <w:rPr>
      <w:color w:val="605E5C"/>
      <w:shd w:val="clear" w:color="auto" w:fill="E1DFDD"/>
    </w:rPr>
  </w:style>
  <w:style w:type="character" w:styleId="FollowedHyperlink">
    <w:name w:val="FollowedHyperlink"/>
    <w:uiPriority w:val="99"/>
    <w:semiHidden/>
    <w:unhideWhenUsed/>
    <w:rsid w:val="009210B8"/>
    <w:rPr>
      <w:color w:val="954F72"/>
      <w:u w:val="single"/>
    </w:rPr>
  </w:style>
  <w:style w:type="paragraph" w:customStyle="1" w:styleId="EndNoteBibliographyTitle">
    <w:name w:val="EndNote Bibliography Title"/>
    <w:basedOn w:val="Normal"/>
    <w:link w:val="EndNoteBibliographyTitleChar"/>
    <w:rsid w:val="009210B8"/>
    <w:pPr>
      <w:spacing w:after="0" w:line="259" w:lineRule="auto"/>
      <w:jc w:val="center"/>
    </w:pPr>
    <w:rPr>
      <w:rFonts w:ascii="Calibri" w:eastAsia="Calibri" w:hAnsi="Calibri" w:cs="Calibri"/>
      <w:noProof/>
      <w:color w:val="auto"/>
      <w:sz w:val="22"/>
      <w:szCs w:val="22"/>
      <w:lang w:val="en-US"/>
    </w:rPr>
  </w:style>
  <w:style w:type="character" w:customStyle="1" w:styleId="EndNoteBibliographyTitleChar">
    <w:name w:val="EndNote Bibliography Title Char"/>
    <w:link w:val="EndNoteBibliographyTitle"/>
    <w:rsid w:val="009210B8"/>
    <w:rPr>
      <w:rFonts w:ascii="Calibri" w:eastAsia="Calibri" w:hAnsi="Calibri" w:cs="Calibri"/>
      <w:noProof/>
      <w:sz w:val="22"/>
      <w:szCs w:val="22"/>
      <w:lang w:val="en-US" w:eastAsia="en-US"/>
    </w:rPr>
  </w:style>
  <w:style w:type="paragraph" w:customStyle="1" w:styleId="EndNoteBibliography">
    <w:name w:val="EndNote Bibliography"/>
    <w:basedOn w:val="Normal"/>
    <w:link w:val="EndNoteBibliographyChar"/>
    <w:rsid w:val="009210B8"/>
    <w:pPr>
      <w:spacing w:after="160" w:line="240" w:lineRule="auto"/>
      <w:jc w:val="left"/>
    </w:pPr>
    <w:rPr>
      <w:rFonts w:ascii="Calibri" w:eastAsia="Calibri" w:hAnsi="Calibri" w:cs="Calibri"/>
      <w:noProof/>
      <w:color w:val="auto"/>
      <w:sz w:val="22"/>
      <w:szCs w:val="22"/>
      <w:lang w:val="en-US"/>
    </w:rPr>
  </w:style>
  <w:style w:type="character" w:customStyle="1" w:styleId="EndNoteBibliographyChar">
    <w:name w:val="EndNote Bibliography Char"/>
    <w:link w:val="EndNoteBibliography"/>
    <w:rsid w:val="009210B8"/>
    <w:rPr>
      <w:rFonts w:ascii="Calibri" w:eastAsia="Calibri" w:hAnsi="Calibri" w:cs="Calibri"/>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26636">
      <w:bodyDiv w:val="1"/>
      <w:marLeft w:val="0"/>
      <w:marRight w:val="0"/>
      <w:marTop w:val="0"/>
      <w:marBottom w:val="0"/>
      <w:divBdr>
        <w:top w:val="none" w:sz="0" w:space="0" w:color="auto"/>
        <w:left w:val="none" w:sz="0" w:space="0" w:color="auto"/>
        <w:bottom w:val="none" w:sz="0" w:space="0" w:color="auto"/>
        <w:right w:val="none" w:sz="0" w:space="0" w:color="auto"/>
      </w:divBdr>
    </w:div>
    <w:div w:id="1380131610">
      <w:bodyDiv w:val="1"/>
      <w:marLeft w:val="0"/>
      <w:marRight w:val="0"/>
      <w:marTop w:val="0"/>
      <w:marBottom w:val="0"/>
      <w:divBdr>
        <w:top w:val="none" w:sz="0" w:space="0" w:color="auto"/>
        <w:left w:val="none" w:sz="0" w:space="0" w:color="auto"/>
        <w:bottom w:val="none" w:sz="0" w:space="0" w:color="auto"/>
        <w:right w:val="none" w:sz="0" w:space="0" w:color="auto"/>
      </w:divBdr>
      <w:divsChild>
        <w:div w:id="1494100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nceraustralia.gov.au" TargetMode="External"/><Relationship Id="rId18" Type="http://schemas.openxmlformats.org/officeDocument/2006/relationships/image" Target="media/image1.png"/><Relationship Id="rId26" Type="http://schemas.openxmlformats.org/officeDocument/2006/relationships/image" Target="media/image9.png"/><Relationship Id="rId39" Type="http://schemas.openxmlformats.org/officeDocument/2006/relationships/hyperlink" Target="http://www9.health.gov.au/mbs/search.cfm" TargetMode="Externa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image" Target="media/image17.png"/><Relationship Id="rId42" Type="http://schemas.openxmlformats.org/officeDocument/2006/relationships/hyperlink" Target="https://wiki.cancer.org.au/australia/Guidelines:PSA_Testing/Active_surveillance" TargetMode="External"/><Relationship Id="rId7" Type="http://schemas.openxmlformats.org/officeDocument/2006/relationships/styles" Target="styles.xml"/><Relationship Id="rId12" Type="http://schemas.openxmlformats.org/officeDocument/2006/relationships/hyperlink" Target="http://www.canceraustralia.gov.au" TargetMode="External"/><Relationship Id="rId17" Type="http://schemas.openxmlformats.org/officeDocument/2006/relationships/footer" Target="footer2.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29" Type="http://schemas.openxmlformats.org/officeDocument/2006/relationships/image" Target="media/image12.png"/><Relationship Id="rId41" Type="http://schemas.openxmlformats.org/officeDocument/2006/relationships/hyperlink" Target="https://www.cancer.org.au/health-professionals/optimal-cancer-care-pathway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hyperlink" Target="http://medicarestatistics.humanservices.gov.au/statistics/mbs_item.js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image" Target="media/image14.png"/><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1E873F17581541A230AB04244829F0" ma:contentTypeVersion="11" ma:contentTypeDescription="Create a new document." ma:contentTypeScope="" ma:versionID="1e46a84881816915f0b3faac7a66ccfa">
  <xsd:schema xmlns:xsd="http://www.w3.org/2001/XMLSchema" xmlns:xs="http://www.w3.org/2001/XMLSchema" xmlns:p="http://schemas.microsoft.com/office/2006/metadata/properties" xmlns:ns3="b444528d-1f21-4732-9494-e70bd0e07cde" xmlns:ns4="646137d0-0d9c-4553-8c64-f0a750e0a3b0" targetNamespace="http://schemas.microsoft.com/office/2006/metadata/properties" ma:root="true" ma:fieldsID="7dbdc27b032b42003b778f21bbd72c74" ns3:_="" ns4:_="">
    <xsd:import namespace="b444528d-1f21-4732-9494-e70bd0e07cde"/>
    <xsd:import namespace="646137d0-0d9c-4553-8c64-f0a750e0a3b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4528d-1f21-4732-9494-e70bd0e07c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6137d0-0d9c-4553-8c64-f0a750e0a3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E4146-5A31-45FE-B2F0-1C70460A23C9}">
  <ds:schemaRefs>
    <ds:schemaRef ds:uri="http://schemas.microsoft.com/sharepoint/v3/contenttype/forms"/>
  </ds:schemaRefs>
</ds:datastoreItem>
</file>

<file path=customXml/itemProps2.xml><?xml version="1.0" encoding="utf-8"?>
<ds:datastoreItem xmlns:ds="http://schemas.openxmlformats.org/officeDocument/2006/customXml" ds:itemID="{D6B0BA30-54D3-432A-9861-21B58ED824F4}">
  <ds:schemaRefs>
    <ds:schemaRef ds:uri="http://schemas.microsoft.com/office/2006/metadata/longProperties"/>
  </ds:schemaRefs>
</ds:datastoreItem>
</file>

<file path=customXml/itemProps3.xml><?xml version="1.0" encoding="utf-8"?>
<ds:datastoreItem xmlns:ds="http://schemas.openxmlformats.org/officeDocument/2006/customXml" ds:itemID="{ED8E3ACB-E140-45FD-B4A9-333B121FB4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5E3790-730A-4F8B-B565-B973384C2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4528d-1f21-4732-9494-e70bd0e07cde"/>
    <ds:schemaRef ds:uri="646137d0-0d9c-4553-8c64-f0a750e0a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67CD49-B67E-4EB8-AB8F-D292DECF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11225</Words>
  <Characters>63988</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CA report template</vt:lpstr>
    </vt:vector>
  </TitlesOfParts>
  <Company>dpplus</Company>
  <LinksUpToDate>false</LinksUpToDate>
  <CharactersWithSpaces>75063</CharactersWithSpaces>
  <SharedDoc>false</SharedDoc>
  <HLinks>
    <vt:vector size="36" baseType="variant">
      <vt:variant>
        <vt:i4>5701710</vt:i4>
      </vt:variant>
      <vt:variant>
        <vt:i4>372</vt:i4>
      </vt:variant>
      <vt:variant>
        <vt:i4>0</vt:i4>
      </vt:variant>
      <vt:variant>
        <vt:i4>5</vt:i4>
      </vt:variant>
      <vt:variant>
        <vt:lpwstr>https://wiki.cancer.org.au/australia/Guidelines:PSA_Testing/Active_surveillance</vt:lpwstr>
      </vt:variant>
      <vt:variant>
        <vt:lpwstr/>
      </vt:variant>
      <vt:variant>
        <vt:i4>3801133</vt:i4>
      </vt:variant>
      <vt:variant>
        <vt:i4>369</vt:i4>
      </vt:variant>
      <vt:variant>
        <vt:i4>0</vt:i4>
      </vt:variant>
      <vt:variant>
        <vt:i4>5</vt:i4>
      </vt:variant>
      <vt:variant>
        <vt:lpwstr>https://www.cancer.org.au/health-professionals/optimal-cancer-care-pathways</vt:lpwstr>
      </vt:variant>
      <vt:variant>
        <vt:lpwstr/>
      </vt:variant>
      <vt:variant>
        <vt:i4>983161</vt:i4>
      </vt:variant>
      <vt:variant>
        <vt:i4>366</vt:i4>
      </vt:variant>
      <vt:variant>
        <vt:i4>0</vt:i4>
      </vt:variant>
      <vt:variant>
        <vt:i4>5</vt:i4>
      </vt:variant>
      <vt:variant>
        <vt:lpwstr>http://medicarestatistics.humanservices.gov.au/statistics/mbs_item.jsp</vt:lpwstr>
      </vt:variant>
      <vt:variant>
        <vt:lpwstr/>
      </vt:variant>
      <vt:variant>
        <vt:i4>458759</vt:i4>
      </vt:variant>
      <vt:variant>
        <vt:i4>363</vt:i4>
      </vt:variant>
      <vt:variant>
        <vt:i4>0</vt:i4>
      </vt:variant>
      <vt:variant>
        <vt:i4>5</vt:i4>
      </vt:variant>
      <vt:variant>
        <vt:lpwstr>http://www9.health.gov.au/mbs/search.cfm</vt:lpwstr>
      </vt:variant>
      <vt:variant>
        <vt:lpwstr/>
      </vt:variant>
      <vt:variant>
        <vt:i4>7405619</vt:i4>
      </vt:variant>
      <vt:variant>
        <vt:i4>3</vt:i4>
      </vt:variant>
      <vt:variant>
        <vt:i4>0</vt:i4>
      </vt:variant>
      <vt:variant>
        <vt:i4>5</vt:i4>
      </vt:variant>
      <vt:variant>
        <vt:lpwstr>http://www.canceraustralia.gov.au/</vt:lpwstr>
      </vt:variant>
      <vt:variant>
        <vt:lpwstr/>
      </vt:variant>
      <vt:variant>
        <vt:i4>7405619</vt:i4>
      </vt:variant>
      <vt:variant>
        <vt:i4>0</vt:i4>
      </vt:variant>
      <vt:variant>
        <vt:i4>0</vt:i4>
      </vt:variant>
      <vt:variant>
        <vt:i4>5</vt:i4>
      </vt:variant>
      <vt:variant>
        <vt:lpwstr>http://www.canceraustralia.gov.au/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report template</dc:title>
  <dc:subject/>
  <dc:creator>admin</dc:creator>
  <cp:keywords/>
  <cp:lastModifiedBy>June Pickering</cp:lastModifiedBy>
  <cp:revision>2</cp:revision>
  <cp:lastPrinted>2021-09-27T07:41:00Z</cp:lastPrinted>
  <dcterms:created xsi:type="dcterms:W3CDTF">2021-10-31T23:09:00Z</dcterms:created>
  <dcterms:modified xsi:type="dcterms:W3CDTF">2021-10-31T23:09:00Z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0x010100921E873F17581541A230AB04244829F0</vt:lpwstr>
  </property>
  <property fmtid="{D5CDD505-2E9C-101B-9397-08002B2CF9AE}" pid="3" name="Document Type">
    <vt:lpwstr>Templates</vt:lpwstr>
  </property>
  <property fmtid="{D5CDD505-2E9C-101B-9397-08002B2CF9AE}" pid="4" name="b47a3a7c22784a9ab4e3aeedda5e545c">
    <vt:lpwstr>Others|16cb2168-ac0a-420e-95c9-2f486e43d88d</vt:lpwstr>
  </property>
  <property fmtid="{D5CDD505-2E9C-101B-9397-08002B2CF9AE}" pid="5" name="TaxCatchAll">
    <vt:lpwstr>10;#Others|16cb2168-ac0a-420e-95c9-2f486e43d88d</vt:lpwstr>
  </property>
  <property fmtid="{D5CDD505-2E9C-101B-9397-08002B2CF9AE}" pid="6" name="_dlc_DocId">
    <vt:lpwstr>NQN76UXKC3R6-7-1268</vt:lpwstr>
  </property>
  <property fmtid="{D5CDD505-2E9C-101B-9397-08002B2CF9AE}" pid="7" name="_dlc_DocIdItemGuid">
    <vt:lpwstr>b122faf2-433a-49d2-9e66-5652063788ce</vt:lpwstr>
  </property>
  <property fmtid="{D5CDD505-2E9C-101B-9397-08002B2CF9AE}" pid="8" name="_dlc_DocIdUrl">
    <vt:lpwstr>http://theloop/_layouts/DocIdRedir.aspx?ID=NQN76UXKC3R6-7-1268, NQN76UXKC3R6-7-1268</vt:lpwstr>
  </property>
  <property fmtid="{D5CDD505-2E9C-101B-9397-08002B2CF9AE}" pid="9" name="TaxKeywordTaxHTField">
    <vt:lpwstr/>
  </property>
  <property fmtid="{D5CDD505-2E9C-101B-9397-08002B2CF9AE}" pid="10" name="TaxKeyword">
    <vt:lpwstr/>
  </property>
  <property fmtid="{D5CDD505-2E9C-101B-9397-08002B2CF9AE}" pid="11" name="Metadata">
    <vt:lpwstr>10;#Others|16cb2168-ac0a-420e-95c9-2f486e43d88d</vt:lpwstr>
  </property>
  <property fmtid="{D5CDD505-2E9C-101B-9397-08002B2CF9AE}" pid="12" name="PublishingExpirationDate">
    <vt:lpwstr/>
  </property>
  <property fmtid="{D5CDD505-2E9C-101B-9397-08002B2CF9AE}" pid="13" name="PublishingStartDate">
    <vt:lpwstr/>
  </property>
</Properties>
</file>