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92D31" w14:textId="77777777" w:rsidR="008E6189" w:rsidRDefault="008E6189"/>
    <w:p w14:paraId="01884A7F" w14:textId="7924979C" w:rsidR="008B1CCE" w:rsidRDefault="008E6189">
      <w:pPr>
        <w:rPr>
          <w:b/>
          <w:bCs/>
          <w:color w:val="C00000"/>
          <w:sz w:val="32"/>
          <w:szCs w:val="32"/>
        </w:rPr>
      </w:pPr>
      <w:r w:rsidRPr="008E6189">
        <w:rPr>
          <w:b/>
          <w:bCs/>
          <w:color w:val="C00000"/>
          <w:sz w:val="32"/>
          <w:szCs w:val="32"/>
        </w:rPr>
        <w:t>Priority-driven Collaborative Cancer Research Scheme 2023</w:t>
      </w:r>
    </w:p>
    <w:p w14:paraId="6CC78857" w14:textId="62845BDB" w:rsidR="008E6189" w:rsidRDefault="008E6189" w:rsidP="008E6189">
      <w:r w:rsidRPr="008E6189">
        <w:t xml:space="preserve">Cancer Australia, Australian Lions Childhood Cancer Research Foundation, Bowel Cancer Australia, Can Too Foundation, </w:t>
      </w:r>
      <w:r w:rsidR="00DB4915">
        <w:t xml:space="preserve">Cooper Rice-Brading Foundation, </w:t>
      </w:r>
      <w:r w:rsidRPr="008E6189">
        <w:t xml:space="preserve">Leukaemia Foundation, Lung Foundation Australia, My Room Children’s Cancer Charity Limited, </w:t>
      </w:r>
      <w:r w:rsidR="00DB4915">
        <w:t xml:space="preserve">National Breast Cancer Foundation, Neuroblastoma Australia, </w:t>
      </w:r>
      <w:r w:rsidRPr="008E6189">
        <w:t>Ovarian Cancer Research Foundation, and The Kids’ Cancer Project</w:t>
      </w:r>
      <w:r>
        <w:t xml:space="preserve"> are pleased to announce successful applicants in the 2023 </w:t>
      </w:r>
      <w:r w:rsidR="00D04701">
        <w:t xml:space="preserve">round of the </w:t>
      </w:r>
      <w:r>
        <w:t>Priority-driven Collaborative Cancer Research Scheme.</w:t>
      </w:r>
    </w:p>
    <w:p w14:paraId="1736EFA4" w14:textId="77777777" w:rsidR="00DB4915" w:rsidRDefault="00DB4915" w:rsidP="00DB4915">
      <w:pPr>
        <w:spacing w:after="240"/>
      </w:pPr>
      <w:r w:rsidRPr="008E6189">
        <w:rPr>
          <w:b/>
          <w:bCs/>
        </w:rPr>
        <w:t>Boyle</w:t>
      </w:r>
      <w:r>
        <w:rPr>
          <w:b/>
          <w:bCs/>
        </w:rPr>
        <w:t xml:space="preserve">, </w:t>
      </w:r>
      <w:r w:rsidRPr="008E6189">
        <w:rPr>
          <w:b/>
          <w:bCs/>
        </w:rPr>
        <w:t>Sarah</w:t>
      </w:r>
      <w:r w:rsidRPr="008E6189">
        <w:rPr>
          <w:b/>
          <w:bCs/>
        </w:rPr>
        <w:br/>
      </w:r>
      <w:r>
        <w:t>Centre for Cancer Biology (University of South Australia and SA Pathology)</w:t>
      </w:r>
      <w:r>
        <w:br/>
      </w:r>
      <w:r w:rsidRPr="008E6189">
        <w:rPr>
          <w:i/>
          <w:iCs/>
        </w:rPr>
        <w:t>Tackling breast cancer growth and metastasis by suppressing ROCK-regulated paracrine signalling.</w:t>
      </w:r>
      <w:r w:rsidRPr="008E6189">
        <w:rPr>
          <w:i/>
          <w:iCs/>
        </w:rPr>
        <w:br/>
      </w:r>
      <w:r>
        <w:t xml:space="preserve">Funded by: Cancer Australia, </w:t>
      </w:r>
      <w:r w:rsidRPr="008E6189">
        <w:t>Can Too Foundation</w:t>
      </w:r>
    </w:p>
    <w:p w14:paraId="293D0603" w14:textId="77777777" w:rsidR="00DB4915" w:rsidRDefault="00DB4915" w:rsidP="00DB4915">
      <w:pPr>
        <w:spacing w:after="240"/>
      </w:pPr>
      <w:r w:rsidRPr="008E6189">
        <w:rPr>
          <w:b/>
          <w:bCs/>
        </w:rPr>
        <w:t>Byrne</w:t>
      </w:r>
      <w:r>
        <w:rPr>
          <w:b/>
          <w:bCs/>
        </w:rPr>
        <w:t xml:space="preserve">, </w:t>
      </w:r>
      <w:r w:rsidRPr="008E6189">
        <w:rPr>
          <w:b/>
          <w:bCs/>
        </w:rPr>
        <w:t>Hilary</w:t>
      </w:r>
      <w:r w:rsidRPr="008E6189">
        <w:rPr>
          <w:b/>
          <w:bCs/>
        </w:rPr>
        <w:br/>
      </w:r>
      <w:r>
        <w:t>University of Sydney</w:t>
      </w:r>
      <w:r>
        <w:br/>
      </w:r>
      <w:r w:rsidRPr="008E6189">
        <w:rPr>
          <w:i/>
          <w:iCs/>
        </w:rPr>
        <w:t>How are you breathing today?</w:t>
      </w:r>
      <w:r w:rsidRPr="008E6189">
        <w:rPr>
          <w:i/>
          <w:iCs/>
        </w:rPr>
        <w:br/>
      </w:r>
      <w:r>
        <w:t>Funded by: Cancer Australia, Lung Foundation Australia</w:t>
      </w:r>
    </w:p>
    <w:p w14:paraId="251C6C78" w14:textId="77777777" w:rsidR="00DB4915" w:rsidRDefault="00DB4915" w:rsidP="00DB4915">
      <w:pPr>
        <w:spacing w:after="240"/>
      </w:pPr>
      <w:r w:rsidRPr="008E6189">
        <w:rPr>
          <w:b/>
          <w:bCs/>
        </w:rPr>
        <w:t>Cole</w:t>
      </w:r>
      <w:r>
        <w:rPr>
          <w:b/>
          <w:bCs/>
        </w:rPr>
        <w:t xml:space="preserve">, </w:t>
      </w:r>
      <w:r w:rsidRPr="008E6189">
        <w:rPr>
          <w:b/>
          <w:bCs/>
        </w:rPr>
        <w:t>Alexander</w:t>
      </w:r>
      <w:r w:rsidRPr="008E6189">
        <w:rPr>
          <w:b/>
          <w:bCs/>
        </w:rPr>
        <w:br/>
      </w:r>
      <w:r>
        <w:t>Centenary Institute</w:t>
      </w:r>
      <w:r>
        <w:br/>
      </w:r>
      <w:r w:rsidRPr="008E6189">
        <w:rPr>
          <w:i/>
          <w:iCs/>
        </w:rPr>
        <w:t>Treating chemoresistant ovarian cancer: Blocking follistatin signalling to enhance the effects of chemotherapy and prevent recurrence of chemoresistant disease.</w:t>
      </w:r>
      <w:r w:rsidRPr="008E6189">
        <w:rPr>
          <w:i/>
          <w:iCs/>
        </w:rPr>
        <w:br/>
      </w:r>
      <w:r>
        <w:t>Funded by: Cancer Australia, Ovarian Cancer Research Foundation</w:t>
      </w:r>
    </w:p>
    <w:p w14:paraId="55231914" w14:textId="35201B8E" w:rsidR="00DB4915" w:rsidRDefault="00DB4915" w:rsidP="00DB4915">
      <w:pPr>
        <w:spacing w:after="240"/>
      </w:pPr>
      <w:r w:rsidRPr="008E6189">
        <w:rPr>
          <w:b/>
          <w:bCs/>
        </w:rPr>
        <w:t>D'Andrea</w:t>
      </w:r>
      <w:r>
        <w:rPr>
          <w:b/>
          <w:bCs/>
        </w:rPr>
        <w:t xml:space="preserve">, </w:t>
      </w:r>
      <w:r w:rsidRPr="008E6189">
        <w:rPr>
          <w:b/>
          <w:bCs/>
        </w:rPr>
        <w:t>Richard</w:t>
      </w:r>
      <w:r w:rsidRPr="008E6189">
        <w:rPr>
          <w:b/>
          <w:bCs/>
        </w:rPr>
        <w:br/>
      </w:r>
      <w:r>
        <w:t>University of South Australia</w:t>
      </w:r>
      <w:r>
        <w:br/>
      </w:r>
      <w:r w:rsidRPr="008E6189">
        <w:rPr>
          <w:i/>
          <w:iCs/>
        </w:rPr>
        <w:t>Integrating cancer germline genetics, precision medicine and oncology to optimise management of paediatric AML.</w:t>
      </w:r>
      <w:r w:rsidRPr="008E6189">
        <w:rPr>
          <w:i/>
          <w:iCs/>
        </w:rPr>
        <w:br/>
      </w:r>
      <w:r>
        <w:t xml:space="preserve">Funded by: Cancer Australia, </w:t>
      </w:r>
      <w:r w:rsidRPr="008E6189">
        <w:t>My Room Children’s Cancer Charity Limited</w:t>
      </w:r>
      <w:r>
        <w:t xml:space="preserve">, </w:t>
      </w:r>
      <w:r w:rsidRPr="008E6189">
        <w:t>The Kids’ Cancer Project</w:t>
      </w:r>
    </w:p>
    <w:p w14:paraId="6C3F4DE4" w14:textId="7ACA5BC8" w:rsidR="00DB4915" w:rsidRDefault="00DB4915" w:rsidP="00DB4915">
      <w:pPr>
        <w:spacing w:after="240"/>
      </w:pPr>
      <w:r w:rsidRPr="008E6189">
        <w:rPr>
          <w:b/>
          <w:bCs/>
        </w:rPr>
        <w:t>Dun</w:t>
      </w:r>
      <w:r>
        <w:rPr>
          <w:b/>
          <w:bCs/>
        </w:rPr>
        <w:t xml:space="preserve">, </w:t>
      </w:r>
      <w:r w:rsidRPr="008E6189">
        <w:rPr>
          <w:b/>
          <w:bCs/>
        </w:rPr>
        <w:t>Matt</w:t>
      </w:r>
      <w:r w:rsidRPr="008E6189">
        <w:rPr>
          <w:b/>
          <w:bCs/>
        </w:rPr>
        <w:br/>
      </w:r>
      <w:r>
        <w:t>The University of Newcastle</w:t>
      </w:r>
      <w:r>
        <w:br/>
      </w:r>
      <w:r w:rsidRPr="008E6189">
        <w:rPr>
          <w:i/>
          <w:iCs/>
        </w:rPr>
        <w:t>Taming free radicals to silence the epigenome of kinase active paediatric cancers.</w:t>
      </w:r>
      <w:r w:rsidRPr="008E6189">
        <w:rPr>
          <w:i/>
          <w:iCs/>
        </w:rPr>
        <w:br/>
      </w:r>
      <w:r>
        <w:t>Funded by: Cancer Australia, The Kids</w:t>
      </w:r>
      <w:r w:rsidR="00F95651">
        <w:t>’</w:t>
      </w:r>
      <w:r>
        <w:t xml:space="preserve"> Cancer Project</w:t>
      </w:r>
    </w:p>
    <w:p w14:paraId="201BC3AA" w14:textId="30E4B1B5" w:rsidR="00DB4915" w:rsidRDefault="00DB4915" w:rsidP="00DB4915">
      <w:pPr>
        <w:spacing w:after="240"/>
      </w:pPr>
      <w:r w:rsidRPr="008E6189">
        <w:rPr>
          <w:b/>
          <w:bCs/>
        </w:rPr>
        <w:t>Hindley</w:t>
      </w:r>
      <w:r>
        <w:rPr>
          <w:b/>
          <w:bCs/>
        </w:rPr>
        <w:t xml:space="preserve">, </w:t>
      </w:r>
      <w:r w:rsidRPr="008E6189">
        <w:rPr>
          <w:b/>
          <w:bCs/>
        </w:rPr>
        <w:t>Nicholas</w:t>
      </w:r>
      <w:r w:rsidRPr="008E6189">
        <w:rPr>
          <w:b/>
          <w:bCs/>
        </w:rPr>
        <w:br/>
      </w:r>
      <w:r>
        <w:t>University of Sydney</w:t>
      </w:r>
      <w:r>
        <w:br/>
      </w:r>
      <w:r w:rsidRPr="008E6189">
        <w:rPr>
          <w:i/>
          <w:iCs/>
        </w:rPr>
        <w:t>From relativity to respiration: How ideas from Einstein’s general theory enable adaptative</w:t>
      </w:r>
      <w:r>
        <w:t xml:space="preserve"> </w:t>
      </w:r>
      <w:r w:rsidRPr="008E6189">
        <w:rPr>
          <w:i/>
          <w:iCs/>
        </w:rPr>
        <w:t>radiation therapy for lung cancer patients.</w:t>
      </w:r>
      <w:r w:rsidRPr="008E6189">
        <w:rPr>
          <w:i/>
          <w:iCs/>
        </w:rPr>
        <w:br/>
      </w:r>
      <w:r>
        <w:t xml:space="preserve">Funded by: Cancer Australia, Lung Foundation Australia </w:t>
      </w:r>
    </w:p>
    <w:p w14:paraId="680EDEFE" w14:textId="60001F1A" w:rsidR="00DB4915" w:rsidRPr="00DB4915" w:rsidRDefault="00DB4915" w:rsidP="00D3124C">
      <w:pPr>
        <w:spacing w:after="240"/>
        <w:rPr>
          <w:b/>
          <w:bCs/>
        </w:rPr>
      </w:pPr>
      <w:r w:rsidRPr="008E6189">
        <w:rPr>
          <w:b/>
          <w:bCs/>
        </w:rPr>
        <w:t>McDonald</w:t>
      </w:r>
      <w:r>
        <w:rPr>
          <w:b/>
          <w:bCs/>
        </w:rPr>
        <w:t xml:space="preserve">, </w:t>
      </w:r>
      <w:r w:rsidRPr="008E6189">
        <w:rPr>
          <w:b/>
          <w:bCs/>
        </w:rPr>
        <w:t>Michelle</w:t>
      </w:r>
      <w:r w:rsidRPr="008E6189">
        <w:rPr>
          <w:b/>
          <w:bCs/>
        </w:rPr>
        <w:br/>
      </w:r>
      <w:r>
        <w:t>University of Sydney</w:t>
      </w:r>
      <w:r>
        <w:br/>
      </w:r>
      <w:r w:rsidRPr="008E6189">
        <w:rPr>
          <w:i/>
          <w:iCs/>
        </w:rPr>
        <w:t>The Skeleton: A Reservoir for Metastatic Outgrowth.</w:t>
      </w:r>
      <w:r w:rsidRPr="008E6189">
        <w:rPr>
          <w:i/>
          <w:iCs/>
        </w:rPr>
        <w:br/>
      </w:r>
      <w:r>
        <w:t>Funded by: Cancer Australia</w:t>
      </w:r>
    </w:p>
    <w:p w14:paraId="42D48862" w14:textId="6B3A1014" w:rsidR="00495EBD" w:rsidRPr="00495EBD" w:rsidRDefault="00495EBD" w:rsidP="00D3124C">
      <w:pPr>
        <w:spacing w:after="240"/>
      </w:pPr>
      <w:r>
        <w:rPr>
          <w:b/>
          <w:bCs/>
        </w:rPr>
        <w:lastRenderedPageBreak/>
        <w:t>Park, Susanna</w:t>
      </w:r>
      <w:r>
        <w:rPr>
          <w:b/>
          <w:bCs/>
        </w:rPr>
        <w:br/>
      </w:r>
      <w:r w:rsidRPr="00495EBD">
        <w:t>University of Sydney</w:t>
      </w:r>
      <w:r w:rsidRPr="00495EBD">
        <w:br/>
      </w:r>
      <w:r w:rsidRPr="00495EBD">
        <w:rPr>
          <w:i/>
          <w:iCs/>
        </w:rPr>
        <w:t xml:space="preserve">Harnessing metabolic, genetic and protein biomarkers to predict neurotoxicity in </w:t>
      </w:r>
      <w:proofErr w:type="spellStart"/>
      <w:r w:rsidRPr="00495EBD">
        <w:rPr>
          <w:i/>
          <w:iCs/>
        </w:rPr>
        <w:t>taxane</w:t>
      </w:r>
      <w:proofErr w:type="spellEnd"/>
      <w:r w:rsidRPr="00495EBD">
        <w:rPr>
          <w:i/>
          <w:iCs/>
        </w:rPr>
        <w:t>-treated cancer patients (</w:t>
      </w:r>
      <w:proofErr w:type="spellStart"/>
      <w:r w:rsidRPr="00495EBD">
        <w:rPr>
          <w:i/>
          <w:iCs/>
        </w:rPr>
        <w:t>NeuroTax</w:t>
      </w:r>
      <w:proofErr w:type="spellEnd"/>
      <w:r w:rsidRPr="00495EBD">
        <w:rPr>
          <w:i/>
          <w:iCs/>
        </w:rPr>
        <w:t>): A prospective validation cohort study</w:t>
      </w:r>
      <w:r w:rsidRPr="00495EBD">
        <w:rPr>
          <w:i/>
          <w:iCs/>
        </w:rPr>
        <w:br/>
      </w:r>
      <w:r w:rsidRPr="00495EBD">
        <w:t>Funded by: Cancer Australia</w:t>
      </w:r>
    </w:p>
    <w:p w14:paraId="52F69373" w14:textId="07CC4736" w:rsidR="00DB4915" w:rsidRDefault="00DB4915" w:rsidP="00D3124C">
      <w:pPr>
        <w:spacing w:after="240"/>
      </w:pPr>
      <w:r w:rsidRPr="008E6189">
        <w:rPr>
          <w:b/>
          <w:bCs/>
        </w:rPr>
        <w:t>Samuel</w:t>
      </w:r>
      <w:r>
        <w:rPr>
          <w:b/>
          <w:bCs/>
        </w:rPr>
        <w:t xml:space="preserve">, </w:t>
      </w:r>
      <w:r w:rsidRPr="008E6189">
        <w:rPr>
          <w:b/>
          <w:bCs/>
        </w:rPr>
        <w:t>Michael</w:t>
      </w:r>
      <w:r w:rsidRPr="008E6189">
        <w:rPr>
          <w:b/>
          <w:bCs/>
        </w:rPr>
        <w:br/>
      </w:r>
      <w:r>
        <w:t>University of South Australia</w:t>
      </w:r>
      <w:r>
        <w:br/>
      </w:r>
      <w:r w:rsidRPr="008E6189">
        <w:rPr>
          <w:i/>
          <w:iCs/>
        </w:rPr>
        <w:t>Insights from the functional tumour secretome: new opportunities to monitor and halt colorectal cancer progression.</w:t>
      </w:r>
      <w:r w:rsidRPr="008E6189">
        <w:rPr>
          <w:i/>
          <w:iCs/>
        </w:rPr>
        <w:br/>
      </w:r>
      <w:r>
        <w:t>Funded by: Bowel Cancer Australia</w:t>
      </w:r>
    </w:p>
    <w:p w14:paraId="5F94208D" w14:textId="4BF1FFD1" w:rsidR="00DB4915" w:rsidRDefault="00DB4915" w:rsidP="00D3124C">
      <w:pPr>
        <w:spacing w:after="240"/>
      </w:pPr>
      <w:r w:rsidRPr="008E6189">
        <w:rPr>
          <w:b/>
          <w:bCs/>
        </w:rPr>
        <w:t>Sanij</w:t>
      </w:r>
      <w:r>
        <w:rPr>
          <w:b/>
          <w:bCs/>
        </w:rPr>
        <w:t xml:space="preserve">, </w:t>
      </w:r>
      <w:r w:rsidRPr="008E6189">
        <w:rPr>
          <w:b/>
          <w:bCs/>
        </w:rPr>
        <w:t>Elaine</w:t>
      </w:r>
      <w:r w:rsidRPr="008E6189">
        <w:rPr>
          <w:b/>
          <w:bCs/>
        </w:rPr>
        <w:br/>
      </w:r>
      <w:r>
        <w:t>St Vincent's Institute of Medical Research</w:t>
      </w:r>
      <w:r>
        <w:br/>
      </w:r>
      <w:r w:rsidRPr="008E6189">
        <w:rPr>
          <w:i/>
          <w:iCs/>
        </w:rPr>
        <w:t>Harnessing the nucleolar stress response in cancer therapy.</w:t>
      </w:r>
      <w:r w:rsidRPr="008E6189">
        <w:rPr>
          <w:i/>
          <w:iCs/>
        </w:rPr>
        <w:br/>
      </w:r>
      <w:r>
        <w:t>Funded by: Cancer Australia</w:t>
      </w:r>
    </w:p>
    <w:p w14:paraId="4A8343DB" w14:textId="783D5178" w:rsidR="008E6189" w:rsidRDefault="008E6189" w:rsidP="00D3124C">
      <w:pPr>
        <w:spacing w:after="240"/>
      </w:pPr>
      <w:r w:rsidRPr="008E6189">
        <w:rPr>
          <w:b/>
          <w:bCs/>
        </w:rPr>
        <w:t>Schumacher</w:t>
      </w:r>
      <w:r w:rsidR="00DB4915">
        <w:rPr>
          <w:b/>
          <w:bCs/>
        </w:rPr>
        <w:t xml:space="preserve">, </w:t>
      </w:r>
      <w:r w:rsidR="00DB4915" w:rsidRPr="008E6189">
        <w:rPr>
          <w:b/>
          <w:bCs/>
        </w:rPr>
        <w:t>Oliver</w:t>
      </w:r>
      <w:r w:rsidRPr="008E6189">
        <w:rPr>
          <w:b/>
          <w:bCs/>
        </w:rPr>
        <w:br/>
      </w:r>
      <w:r>
        <w:t>Edith Cowan University</w:t>
      </w:r>
      <w:r>
        <w:br/>
      </w:r>
      <w:r w:rsidRPr="008E6189">
        <w:rPr>
          <w:i/>
          <w:iCs/>
        </w:rPr>
        <w:t>Exercise as a novel therapeutic approach for sensitising prostate cancer to radiotherapy.</w:t>
      </w:r>
      <w:r w:rsidRPr="008E6189">
        <w:rPr>
          <w:i/>
          <w:iCs/>
        </w:rPr>
        <w:br/>
      </w:r>
      <w:r>
        <w:t>Funded by:</w:t>
      </w:r>
      <w:r w:rsidR="00D3124C" w:rsidRPr="00D3124C">
        <w:t xml:space="preserve"> </w:t>
      </w:r>
      <w:r w:rsidR="00D3124C">
        <w:t xml:space="preserve">Cancer Australia, </w:t>
      </w:r>
      <w:r w:rsidR="00D3124C" w:rsidRPr="008E6189">
        <w:t>Can Too Foundation</w:t>
      </w:r>
    </w:p>
    <w:p w14:paraId="01F061E4" w14:textId="10B2A890" w:rsidR="00DB4915" w:rsidRDefault="00DB4915" w:rsidP="00D3124C">
      <w:pPr>
        <w:spacing w:after="240"/>
      </w:pPr>
      <w:r w:rsidRPr="008E6189">
        <w:rPr>
          <w:b/>
          <w:bCs/>
        </w:rPr>
        <w:t>Se</w:t>
      </w:r>
      <w:r w:rsidR="00B43752">
        <w:rPr>
          <w:b/>
          <w:bCs/>
        </w:rPr>
        <w:t>l</w:t>
      </w:r>
      <w:r w:rsidRPr="008E6189">
        <w:rPr>
          <w:b/>
          <w:bCs/>
        </w:rPr>
        <w:t>th</w:t>
      </w:r>
      <w:r>
        <w:rPr>
          <w:b/>
          <w:bCs/>
        </w:rPr>
        <w:t xml:space="preserve">, </w:t>
      </w:r>
      <w:r w:rsidRPr="008E6189">
        <w:rPr>
          <w:b/>
          <w:bCs/>
        </w:rPr>
        <w:t>Luke</w:t>
      </w:r>
      <w:r w:rsidRPr="008E6189">
        <w:rPr>
          <w:b/>
          <w:bCs/>
        </w:rPr>
        <w:br/>
      </w:r>
      <w:r>
        <w:t>Flinders University</w:t>
      </w:r>
      <w:r>
        <w:br/>
      </w:r>
      <w:r w:rsidRPr="008E6189">
        <w:rPr>
          <w:i/>
          <w:iCs/>
        </w:rPr>
        <w:t>A novel hormonal therapy to treat lethal prostate cancer.</w:t>
      </w:r>
      <w:r w:rsidRPr="008E6189">
        <w:rPr>
          <w:i/>
          <w:iCs/>
        </w:rPr>
        <w:br/>
      </w:r>
      <w:r>
        <w:t>Funded by: Cancer Australia</w:t>
      </w:r>
    </w:p>
    <w:p w14:paraId="42631575" w14:textId="0784921A" w:rsidR="00DB4915" w:rsidRDefault="00DB4915" w:rsidP="00DB4915">
      <w:pPr>
        <w:spacing w:after="240"/>
      </w:pPr>
      <w:r w:rsidRPr="008E6189">
        <w:rPr>
          <w:b/>
          <w:bCs/>
        </w:rPr>
        <w:t>Sutherland</w:t>
      </w:r>
      <w:r>
        <w:rPr>
          <w:b/>
          <w:bCs/>
        </w:rPr>
        <w:t xml:space="preserve">, </w:t>
      </w:r>
      <w:r w:rsidRPr="008E6189">
        <w:rPr>
          <w:b/>
          <w:bCs/>
        </w:rPr>
        <w:t>Kate</w:t>
      </w:r>
      <w:r w:rsidRPr="008E6189">
        <w:rPr>
          <w:b/>
          <w:bCs/>
        </w:rPr>
        <w:br/>
      </w:r>
      <w:r>
        <w:t>The Walter and Eliza Hall Institute of Medical Research</w:t>
      </w:r>
      <w:r>
        <w:br/>
      </w:r>
      <w:r w:rsidRPr="008E6189">
        <w:rPr>
          <w:i/>
          <w:iCs/>
        </w:rPr>
        <w:t>Exploiting cell-of-origin features to improve treatment for KEAP1-mutant lung cancer.</w:t>
      </w:r>
      <w:r w:rsidRPr="008E6189">
        <w:rPr>
          <w:i/>
          <w:iCs/>
        </w:rPr>
        <w:br/>
      </w:r>
      <w:r>
        <w:t>Funded by: Cancer Australia</w:t>
      </w:r>
    </w:p>
    <w:p w14:paraId="43E8B3B5" w14:textId="52346DA2" w:rsidR="00D3124C" w:rsidRDefault="008E6189" w:rsidP="00D3124C">
      <w:pPr>
        <w:spacing w:after="240"/>
      </w:pPr>
      <w:r w:rsidRPr="008E6189">
        <w:rPr>
          <w:b/>
          <w:bCs/>
        </w:rPr>
        <w:t>Tavakoli Shirazi</w:t>
      </w:r>
      <w:r w:rsidR="00DB4915">
        <w:rPr>
          <w:b/>
          <w:bCs/>
        </w:rPr>
        <w:t xml:space="preserve">, </w:t>
      </w:r>
      <w:r w:rsidR="00DB4915" w:rsidRPr="008E6189">
        <w:rPr>
          <w:b/>
          <w:bCs/>
        </w:rPr>
        <w:t>Paniz</w:t>
      </w:r>
      <w:r w:rsidRPr="008E6189">
        <w:rPr>
          <w:b/>
          <w:bCs/>
        </w:rPr>
        <w:br/>
      </w:r>
      <w:r>
        <w:t>The Council of the Queensland Institute of Medical Research</w:t>
      </w:r>
      <w:r>
        <w:br/>
      </w:r>
      <w:r w:rsidRPr="008E6189">
        <w:rPr>
          <w:i/>
          <w:iCs/>
        </w:rPr>
        <w:t>Effect of co-occurring mutations on therapy response and resistance.</w:t>
      </w:r>
      <w:r w:rsidRPr="008E6189">
        <w:rPr>
          <w:i/>
          <w:iCs/>
        </w:rPr>
        <w:br/>
      </w:r>
      <w:r w:rsidR="00D3124C">
        <w:t>Funded by: Cancer Australia</w:t>
      </w:r>
    </w:p>
    <w:p w14:paraId="1B772B9B" w14:textId="716476C3" w:rsidR="00DB4915" w:rsidRDefault="00DB4915" w:rsidP="00D3124C">
      <w:pPr>
        <w:spacing w:after="240"/>
      </w:pPr>
      <w:r w:rsidRPr="008E6189">
        <w:rPr>
          <w:b/>
          <w:bCs/>
        </w:rPr>
        <w:t>Thurgood</w:t>
      </w:r>
      <w:r>
        <w:rPr>
          <w:b/>
          <w:bCs/>
        </w:rPr>
        <w:t xml:space="preserve">, </w:t>
      </w:r>
      <w:r w:rsidRPr="008E6189">
        <w:rPr>
          <w:b/>
          <w:bCs/>
        </w:rPr>
        <w:t>Lauren</w:t>
      </w:r>
      <w:r w:rsidRPr="008E6189">
        <w:rPr>
          <w:b/>
          <w:bCs/>
        </w:rPr>
        <w:br/>
      </w:r>
      <w:r>
        <w:t>Flinders University</w:t>
      </w:r>
      <w:r>
        <w:br/>
      </w:r>
      <w:r w:rsidRPr="008E6189">
        <w:rPr>
          <w:i/>
          <w:iCs/>
        </w:rPr>
        <w:t>Non-canonical PI3K targeting - novel therapies to exploit the lipid dependency of CLL.</w:t>
      </w:r>
      <w:r w:rsidRPr="008E6189">
        <w:rPr>
          <w:i/>
          <w:iCs/>
        </w:rPr>
        <w:br/>
      </w:r>
      <w:r>
        <w:t>Funded by: Leukaemia Foundation</w:t>
      </w:r>
    </w:p>
    <w:p w14:paraId="7BA54112" w14:textId="77777777" w:rsidR="00DB4915" w:rsidRDefault="00DB4915" w:rsidP="00DB4915">
      <w:pPr>
        <w:spacing w:after="240"/>
      </w:pPr>
      <w:r w:rsidRPr="008E6189">
        <w:rPr>
          <w:b/>
          <w:bCs/>
        </w:rPr>
        <w:t>Vandyke</w:t>
      </w:r>
      <w:r>
        <w:rPr>
          <w:b/>
          <w:bCs/>
        </w:rPr>
        <w:t xml:space="preserve">, </w:t>
      </w:r>
      <w:r w:rsidRPr="008E6189">
        <w:rPr>
          <w:b/>
          <w:bCs/>
        </w:rPr>
        <w:t>Kate</w:t>
      </w:r>
      <w:r w:rsidRPr="008E6189">
        <w:rPr>
          <w:b/>
          <w:bCs/>
        </w:rPr>
        <w:br/>
      </w:r>
      <w:r>
        <w:t>The University of Adelaide</w:t>
      </w:r>
      <w:r>
        <w:br/>
      </w:r>
      <w:r w:rsidRPr="008E6189">
        <w:rPr>
          <w:i/>
          <w:iCs/>
        </w:rPr>
        <w:t>Priming the blood-brain barrier to improve drug delivery and treatment outcomes in diffuse midline glioma.</w:t>
      </w:r>
      <w:r w:rsidRPr="008E6189">
        <w:rPr>
          <w:i/>
          <w:iCs/>
        </w:rPr>
        <w:br/>
      </w:r>
      <w:r>
        <w:t xml:space="preserve">Funded by: Cancer Australia, </w:t>
      </w:r>
      <w:r w:rsidRPr="008E6189">
        <w:t>Australian Lions Childhood Cancer Research Foundation</w:t>
      </w:r>
      <w:r>
        <w:t>, The Kids’ Cancer Project</w:t>
      </w:r>
    </w:p>
    <w:p w14:paraId="473C918F" w14:textId="77777777" w:rsidR="00495EBD" w:rsidRPr="00495EBD" w:rsidRDefault="00495EBD" w:rsidP="00495EBD">
      <w:pPr>
        <w:spacing w:after="240"/>
      </w:pPr>
      <w:r w:rsidRPr="00495EBD">
        <w:rPr>
          <w:b/>
          <w:bCs/>
        </w:rPr>
        <w:lastRenderedPageBreak/>
        <w:t>Ziegler, David</w:t>
      </w:r>
      <w:r w:rsidRPr="00495EBD">
        <w:rPr>
          <w:b/>
          <w:bCs/>
        </w:rPr>
        <w:br/>
      </w:r>
      <w:r w:rsidRPr="00495EBD">
        <w:t>University of New South Wales</w:t>
      </w:r>
      <w:r w:rsidRPr="00495EBD">
        <w:br/>
      </w:r>
      <w:r w:rsidRPr="00495EBD">
        <w:rPr>
          <w:i/>
          <w:iCs/>
        </w:rPr>
        <w:t>Unlocking the potential of the blood-brain barrier in the fight against paediatric brain gliomas</w:t>
      </w:r>
      <w:r w:rsidRPr="00495EBD">
        <w:br/>
        <w:t>Funded by: Cancer Australia</w:t>
      </w:r>
    </w:p>
    <w:p w14:paraId="0F33C9C1" w14:textId="77777777" w:rsidR="00495EBD" w:rsidRDefault="00495EBD" w:rsidP="00DB4915">
      <w:pPr>
        <w:spacing w:after="240"/>
      </w:pPr>
    </w:p>
    <w:p w14:paraId="09D997E7" w14:textId="77777777" w:rsidR="00DB4915" w:rsidRDefault="00DB4915" w:rsidP="00D3124C">
      <w:pPr>
        <w:spacing w:after="240"/>
      </w:pPr>
    </w:p>
    <w:sectPr w:rsidR="00DB4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F4B2B" w14:textId="77777777" w:rsidR="00B74A86" w:rsidRDefault="00B74A86" w:rsidP="008E6189">
      <w:pPr>
        <w:spacing w:after="0" w:line="240" w:lineRule="auto"/>
      </w:pPr>
      <w:r>
        <w:separator/>
      </w:r>
    </w:p>
  </w:endnote>
  <w:endnote w:type="continuationSeparator" w:id="0">
    <w:p w14:paraId="6251AADF" w14:textId="77777777" w:rsidR="00B74A86" w:rsidRDefault="00B74A86" w:rsidP="008E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E5BD6" w14:textId="77777777" w:rsidR="00EC08D6" w:rsidRDefault="00EC0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1F284" w14:textId="77777777" w:rsidR="00EC08D6" w:rsidRDefault="00EC0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5B56C" w14:textId="77777777" w:rsidR="00EC08D6" w:rsidRDefault="00EC0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EAD53" w14:textId="77777777" w:rsidR="00B74A86" w:rsidRDefault="00B74A86" w:rsidP="008E6189">
      <w:pPr>
        <w:spacing w:after="0" w:line="240" w:lineRule="auto"/>
      </w:pPr>
      <w:r>
        <w:separator/>
      </w:r>
    </w:p>
  </w:footnote>
  <w:footnote w:type="continuationSeparator" w:id="0">
    <w:p w14:paraId="15DFDB8F" w14:textId="77777777" w:rsidR="00B74A86" w:rsidRDefault="00B74A86" w:rsidP="008E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D3B7" w14:textId="77777777" w:rsidR="00EC08D6" w:rsidRDefault="00EC0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A0AB" w14:textId="0C17DC12" w:rsidR="008E6189" w:rsidRDefault="008E6189">
    <w:pPr>
      <w:pStyle w:val="Header"/>
    </w:pPr>
    <w:r w:rsidRPr="003651E8">
      <w:rPr>
        <w:rFonts w:ascii="Calibri" w:hAnsi="Calibri"/>
        <w:b/>
        <w:noProof/>
      </w:rPr>
      <w:drawing>
        <wp:anchor distT="0" distB="0" distL="114300" distR="114300" simplePos="0" relativeHeight="251659264" behindDoc="1" locked="0" layoutInCell="1" allowOverlap="1" wp14:anchorId="0A624E59" wp14:editId="49E5E1EF">
          <wp:simplePos x="0" y="0"/>
          <wp:positionH relativeFrom="margin">
            <wp:align>right</wp:align>
          </wp:positionH>
          <wp:positionV relativeFrom="paragraph">
            <wp:posOffset>-106901</wp:posOffset>
          </wp:positionV>
          <wp:extent cx="2585085" cy="570865"/>
          <wp:effectExtent l="0" t="0" r="5715" b="635"/>
          <wp:wrapTight wrapText="bothSides">
            <wp:wrapPolygon edited="0">
              <wp:start x="2865" y="0"/>
              <wp:lineTo x="2069" y="1442"/>
              <wp:lineTo x="0" y="9370"/>
              <wp:lineTo x="0" y="17299"/>
              <wp:lineTo x="2228" y="20903"/>
              <wp:lineTo x="4775" y="20903"/>
              <wp:lineTo x="21489" y="19462"/>
              <wp:lineTo x="21489" y="5766"/>
              <wp:lineTo x="4139" y="0"/>
              <wp:lineTo x="2865" y="0"/>
            </wp:wrapPolygon>
          </wp:wrapTight>
          <wp:docPr id="698788807" name="Picture 698788807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C74" w14:textId="77777777" w:rsidR="00EC08D6" w:rsidRDefault="00EC0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CDB"/>
    <w:multiLevelType w:val="hybridMultilevel"/>
    <w:tmpl w:val="469C4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97448"/>
    <w:multiLevelType w:val="hybridMultilevel"/>
    <w:tmpl w:val="9994738C"/>
    <w:lvl w:ilvl="0" w:tplc="64BE637A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91320">
    <w:abstractNumId w:val="0"/>
  </w:num>
  <w:num w:numId="2" w16cid:durableId="1028412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89"/>
    <w:rsid w:val="000936BD"/>
    <w:rsid w:val="001914DF"/>
    <w:rsid w:val="001C4564"/>
    <w:rsid w:val="00474DD7"/>
    <w:rsid w:val="00495EBD"/>
    <w:rsid w:val="00735B82"/>
    <w:rsid w:val="008B1CCE"/>
    <w:rsid w:val="008E6189"/>
    <w:rsid w:val="00A67BC9"/>
    <w:rsid w:val="00AF19A3"/>
    <w:rsid w:val="00B43752"/>
    <w:rsid w:val="00B74A86"/>
    <w:rsid w:val="00D04701"/>
    <w:rsid w:val="00D102C0"/>
    <w:rsid w:val="00D3124C"/>
    <w:rsid w:val="00DB4915"/>
    <w:rsid w:val="00E02948"/>
    <w:rsid w:val="00E7316A"/>
    <w:rsid w:val="00EC08D6"/>
    <w:rsid w:val="00F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3BF3C"/>
  <w15:chartTrackingRefBased/>
  <w15:docId w15:val="{AD8F5713-68C1-46B0-98AC-F12DF32A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1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1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1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1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6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189"/>
  </w:style>
  <w:style w:type="paragraph" w:styleId="Footer">
    <w:name w:val="footer"/>
    <w:basedOn w:val="Normal"/>
    <w:link w:val="FooterChar"/>
    <w:uiPriority w:val="99"/>
    <w:unhideWhenUsed/>
    <w:rsid w:val="008E6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189"/>
  </w:style>
  <w:style w:type="character" w:styleId="CommentReference">
    <w:name w:val="annotation reference"/>
    <w:basedOn w:val="DefaultParagraphFont"/>
    <w:uiPriority w:val="99"/>
    <w:semiHidden/>
    <w:unhideWhenUsed/>
    <w:rsid w:val="00D04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7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7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4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29CBBBB-B725-409C-86C7-6C9B1EEB0CF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Gerges</dc:creator>
  <cp:keywords/>
  <dc:description/>
  <cp:lastModifiedBy>Jared Hilliers</cp:lastModifiedBy>
  <cp:revision>2</cp:revision>
  <dcterms:created xsi:type="dcterms:W3CDTF">2024-08-26T23:42:00Z</dcterms:created>
  <dcterms:modified xsi:type="dcterms:W3CDTF">2024-08-26T23:42:00Z</dcterms:modified>
</cp:coreProperties>
</file>